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92D050"/>
        </w:rPr>
        <w:t>bae</w:t>
      </w:r>
      <w:r>
        <w:rPr>
          <w:color w:val="92D050"/>
          <w:spacing w:val="-23"/>
        </w:rPr>
        <w:t> </w:t>
      </w:r>
      <w:r>
        <w:rPr>
          <w:color w:val="A6A6A6"/>
        </w:rPr>
        <w:t>urban</w:t>
      </w:r>
      <w:r>
        <w:rPr>
          <w:color w:val="A6A6A6"/>
          <w:spacing w:val="-21"/>
        </w:rPr>
        <w:t> </w:t>
      </w:r>
      <w:r>
        <w:rPr>
          <w:color w:val="A6A6A6"/>
          <w:spacing w:val="-2"/>
        </w:rPr>
        <w:t>economics</w:t>
      </w:r>
    </w:p>
    <w:p>
      <w:pPr>
        <w:pStyle w:val="BodyText"/>
        <w:spacing w:before="147"/>
        <w:rPr>
          <w:rFonts w:ascii="Trebuchet MS"/>
          <w:sz w:val="20"/>
        </w:rPr>
      </w:pPr>
    </w:p>
    <w:p>
      <w:pPr>
        <w:pStyle w:val="BodyText"/>
        <w:spacing w:after="0"/>
        <w:rPr>
          <w:rFonts w:ascii="Trebuchet MS"/>
          <w:sz w:val="20"/>
        </w:rPr>
        <w:sectPr>
          <w:type w:val="continuous"/>
          <w:pgSz w:w="12240" w:h="15840"/>
          <w:pgMar w:top="360" w:bottom="280" w:left="720" w:right="720"/>
        </w:sectPr>
      </w:pPr>
    </w:p>
    <w:p>
      <w:pPr>
        <w:pStyle w:val="BodyText"/>
        <w:rPr>
          <w:rFonts w:ascii="Trebuchet MS"/>
          <w:sz w:val="28"/>
        </w:rPr>
      </w:pPr>
    </w:p>
    <w:p>
      <w:pPr>
        <w:pStyle w:val="BodyText"/>
        <w:rPr>
          <w:rFonts w:ascii="Trebuchet MS"/>
          <w:sz w:val="28"/>
        </w:rPr>
      </w:pPr>
    </w:p>
    <w:p>
      <w:pPr>
        <w:pStyle w:val="BodyText"/>
        <w:spacing w:before="227"/>
        <w:rPr>
          <w:rFonts w:ascii="Trebuchet MS"/>
          <w:sz w:val="28"/>
        </w:rPr>
      </w:pPr>
    </w:p>
    <w:p>
      <w:pPr>
        <w:spacing w:before="0"/>
        <w:ind w:left="1008" w:right="0" w:firstLine="0"/>
        <w:jc w:val="left"/>
        <w:rPr>
          <w:sz w:val="28"/>
        </w:rPr>
      </w:pPr>
      <w:r>
        <w:rPr>
          <w:spacing w:val="-2"/>
          <w:sz w:val="28"/>
        </w:rPr>
        <w:t>Overview</w:t>
      </w:r>
    </w:p>
    <w:p>
      <w:pPr>
        <w:spacing w:before="101"/>
        <w:ind w:left="1" w:right="2130" w:firstLine="0"/>
        <w:jc w:val="center"/>
        <w:rPr>
          <w:sz w:val="28"/>
        </w:rPr>
      </w:pPr>
      <w:r>
        <w:rPr/>
        <w:br w:type="column"/>
      </w:r>
      <w:r>
        <w:rPr>
          <w:sz w:val="28"/>
        </w:rPr>
        <w:t>2021</w:t>
      </w:r>
      <w:r>
        <w:rPr>
          <w:spacing w:val="-4"/>
          <w:sz w:val="28"/>
        </w:rPr>
        <w:t> </w:t>
      </w:r>
      <w:r>
        <w:rPr>
          <w:sz w:val="28"/>
        </w:rPr>
        <w:t>Apartment</w:t>
      </w:r>
      <w:r>
        <w:rPr>
          <w:spacing w:val="-4"/>
          <w:sz w:val="28"/>
        </w:rPr>
        <w:t> </w:t>
      </w:r>
      <w:r>
        <w:rPr>
          <w:sz w:val="28"/>
        </w:rPr>
        <w:t>Vacancy</w:t>
      </w:r>
      <w:r>
        <w:rPr>
          <w:spacing w:val="-4"/>
          <w:sz w:val="28"/>
        </w:rPr>
        <w:t> </w:t>
      </w:r>
      <w:r>
        <w:rPr>
          <w:sz w:val="28"/>
        </w:rPr>
        <w:t>and</w:t>
      </w:r>
      <w:r>
        <w:rPr>
          <w:spacing w:val="-3"/>
          <w:sz w:val="28"/>
        </w:rPr>
        <w:t> </w:t>
      </w:r>
      <w:r>
        <w:rPr>
          <w:sz w:val="28"/>
        </w:rPr>
        <w:t>Rental</w:t>
      </w:r>
      <w:r>
        <w:rPr>
          <w:spacing w:val="-4"/>
          <w:sz w:val="28"/>
        </w:rPr>
        <w:t> </w:t>
      </w:r>
      <w:r>
        <w:rPr>
          <w:sz w:val="28"/>
        </w:rPr>
        <w:t>Rate</w:t>
      </w:r>
      <w:r>
        <w:rPr>
          <w:spacing w:val="-5"/>
          <w:sz w:val="28"/>
        </w:rPr>
        <w:t> </w:t>
      </w:r>
      <w:r>
        <w:rPr>
          <w:spacing w:val="-2"/>
          <w:sz w:val="28"/>
        </w:rPr>
        <w:t>Survey</w:t>
      </w:r>
    </w:p>
    <w:p>
      <w:pPr>
        <w:pStyle w:val="BodyText"/>
        <w:spacing w:before="234"/>
        <w:ind w:right="2130"/>
        <w:jc w:val="center"/>
      </w:pPr>
      <w:r>
        <w:rPr/>
        <w:t>Presented</w:t>
      </w:r>
      <w:r>
        <w:rPr>
          <w:spacing w:val="-11"/>
        </w:rPr>
        <w:t> </w:t>
      </w:r>
      <w:r>
        <w:rPr/>
        <w:t>on</w:t>
      </w:r>
      <w:r>
        <w:rPr>
          <w:spacing w:val="-10"/>
        </w:rPr>
        <w:t> </w:t>
      </w:r>
      <w:r>
        <w:rPr/>
        <w:t>behalf</w:t>
      </w:r>
      <w:r>
        <w:rPr>
          <w:spacing w:val="-10"/>
        </w:rPr>
        <w:t> </w:t>
      </w:r>
      <w:r>
        <w:rPr/>
        <w:t>of</w:t>
      </w:r>
      <w:r>
        <w:rPr>
          <w:spacing w:val="-10"/>
        </w:rPr>
        <w:t> </w:t>
      </w:r>
      <w:r>
        <w:rPr/>
        <w:t>UC</w:t>
      </w:r>
      <w:r>
        <w:rPr>
          <w:spacing w:val="-13"/>
        </w:rPr>
        <w:t> </w:t>
      </w:r>
      <w:r>
        <w:rPr/>
        <w:t>Davis</w:t>
      </w:r>
      <w:r>
        <w:rPr>
          <w:spacing w:val="-12"/>
        </w:rPr>
        <w:t> </w:t>
      </w:r>
      <w:r>
        <w:rPr/>
        <w:t>Student</w:t>
      </w:r>
      <w:r>
        <w:rPr>
          <w:spacing w:val="-10"/>
        </w:rPr>
        <w:t> </w:t>
      </w:r>
      <w:r>
        <w:rPr/>
        <w:t>Housing</w:t>
      </w:r>
      <w:r>
        <w:rPr>
          <w:spacing w:val="-13"/>
        </w:rPr>
        <w:t> </w:t>
      </w:r>
      <w:r>
        <w:rPr/>
        <w:t>and</w:t>
      </w:r>
      <w:r>
        <w:rPr>
          <w:spacing w:val="-10"/>
        </w:rPr>
        <w:t> </w:t>
      </w:r>
      <w:r>
        <w:rPr/>
        <w:t>Dining</w:t>
      </w:r>
      <w:r>
        <w:rPr>
          <w:spacing w:val="-10"/>
        </w:rPr>
        <w:t> </w:t>
      </w:r>
      <w:r>
        <w:rPr>
          <w:spacing w:val="-2"/>
        </w:rPr>
        <w:t>Services</w:t>
      </w:r>
    </w:p>
    <w:p>
      <w:pPr>
        <w:pStyle w:val="BodyText"/>
        <w:spacing w:after="0"/>
        <w:jc w:val="center"/>
        <w:sectPr>
          <w:type w:val="continuous"/>
          <w:pgSz w:w="12240" w:h="15840"/>
          <w:pgMar w:top="360" w:bottom="280" w:left="720" w:right="720"/>
          <w:cols w:num="2" w:equalWidth="0">
            <w:col w:w="2091" w:space="40"/>
            <w:col w:w="8669"/>
          </w:cols>
        </w:sectPr>
      </w:pPr>
    </w:p>
    <w:p>
      <w:pPr>
        <w:pStyle w:val="BodyText"/>
        <w:spacing w:line="288" w:lineRule="auto" w:before="50"/>
        <w:ind w:left="1008" w:right="1001"/>
      </w:pPr>
      <w:r>
        <w:rPr/>
        <w:t>The</w:t>
      </w:r>
      <w:r>
        <w:rPr>
          <w:spacing w:val="-3"/>
        </w:rPr>
        <w:t> </w:t>
      </w:r>
      <w:r>
        <w:rPr/>
        <w:t>annual</w:t>
      </w:r>
      <w:r>
        <w:rPr>
          <w:spacing w:val="-1"/>
        </w:rPr>
        <w:t> </w:t>
      </w:r>
      <w:r>
        <w:rPr/>
        <w:t>Apartment</w:t>
      </w:r>
      <w:r>
        <w:rPr>
          <w:spacing w:val="-2"/>
        </w:rPr>
        <w:t> </w:t>
      </w:r>
      <w:r>
        <w:rPr/>
        <w:t>Vacancy</w:t>
      </w:r>
      <w:r>
        <w:rPr>
          <w:spacing w:val="-4"/>
        </w:rPr>
        <w:t> </w:t>
      </w:r>
      <w:r>
        <w:rPr/>
        <w:t>and</w:t>
      </w:r>
      <w:r>
        <w:rPr>
          <w:spacing w:val="-1"/>
        </w:rPr>
        <w:t> </w:t>
      </w:r>
      <w:r>
        <w:rPr/>
        <w:t>Rental</w:t>
      </w:r>
      <w:r>
        <w:rPr>
          <w:spacing w:val="-1"/>
        </w:rPr>
        <w:t> </w:t>
      </w:r>
      <w:r>
        <w:rPr/>
        <w:t>Rate</w:t>
      </w:r>
      <w:r>
        <w:rPr>
          <w:spacing w:val="-1"/>
        </w:rPr>
        <w:t> </w:t>
      </w:r>
      <w:r>
        <w:rPr/>
        <w:t>Survey</w:t>
      </w:r>
      <w:r>
        <w:rPr>
          <w:spacing w:val="-1"/>
        </w:rPr>
        <w:t> </w:t>
      </w:r>
      <w:r>
        <w:rPr/>
        <w:t>collects information</w:t>
      </w:r>
      <w:r>
        <w:rPr>
          <w:spacing w:val="-3"/>
        </w:rPr>
        <w:t> </w:t>
      </w:r>
      <w:r>
        <w:rPr/>
        <w:t>on</w:t>
      </w:r>
      <w:r>
        <w:rPr>
          <w:spacing w:val="-3"/>
        </w:rPr>
        <w:t> </w:t>
      </w:r>
      <w:r>
        <w:rPr/>
        <w:t>the characteristics</w:t>
      </w:r>
      <w:r>
        <w:rPr>
          <w:spacing w:val="-5"/>
        </w:rPr>
        <w:t> </w:t>
      </w:r>
      <w:r>
        <w:rPr/>
        <w:t>of</w:t>
      </w:r>
      <w:r>
        <w:rPr>
          <w:spacing w:val="-5"/>
        </w:rPr>
        <w:t> </w:t>
      </w:r>
      <w:r>
        <w:rPr/>
        <w:t>rental</w:t>
      </w:r>
      <w:r>
        <w:rPr>
          <w:spacing w:val="-5"/>
        </w:rPr>
        <w:t> </w:t>
      </w:r>
      <w:r>
        <w:rPr/>
        <w:t>apartment</w:t>
      </w:r>
      <w:r>
        <w:rPr>
          <w:spacing w:val="-6"/>
        </w:rPr>
        <w:t> </w:t>
      </w:r>
      <w:r>
        <w:rPr/>
        <w:t>units</w:t>
      </w:r>
      <w:r>
        <w:rPr>
          <w:spacing w:val="-5"/>
        </w:rPr>
        <w:t> </w:t>
      </w:r>
      <w:r>
        <w:rPr/>
        <w:t>in</w:t>
      </w:r>
      <w:r>
        <w:rPr>
          <w:spacing w:val="-5"/>
        </w:rPr>
        <w:t> </w:t>
      </w:r>
      <w:r>
        <w:rPr/>
        <w:t>the</w:t>
      </w:r>
      <w:r>
        <w:rPr>
          <w:spacing w:val="-7"/>
        </w:rPr>
        <w:t> </w:t>
      </w:r>
      <w:r>
        <w:rPr/>
        <w:t>Davis</w:t>
      </w:r>
      <w:r>
        <w:rPr>
          <w:spacing w:val="-5"/>
        </w:rPr>
        <w:t> </w:t>
      </w:r>
      <w:r>
        <w:rPr/>
        <w:t>community.</w:t>
      </w:r>
      <w:r>
        <w:rPr>
          <w:spacing w:val="40"/>
        </w:rPr>
        <w:t> </w:t>
      </w:r>
      <w:r>
        <w:rPr/>
        <w:t>Similar</w:t>
      </w:r>
      <w:r>
        <w:rPr>
          <w:spacing w:val="-8"/>
        </w:rPr>
        <w:t> </w:t>
      </w:r>
      <w:r>
        <w:rPr/>
        <w:t>surveys</w:t>
      </w:r>
      <w:r>
        <w:rPr>
          <w:spacing w:val="-5"/>
        </w:rPr>
        <w:t> </w:t>
      </w:r>
      <w:r>
        <w:rPr/>
        <w:t>have</w:t>
      </w:r>
      <w:r>
        <w:rPr>
          <w:spacing w:val="-5"/>
        </w:rPr>
        <w:t> </w:t>
      </w:r>
      <w:r>
        <w:rPr/>
        <w:t>been conducted on an annual, or biennial basis, since at</w:t>
      </w:r>
      <w:r>
        <w:rPr>
          <w:spacing w:val="-1"/>
        </w:rPr>
        <w:t> </w:t>
      </w:r>
      <w:r>
        <w:rPr/>
        <w:t>least 1975.</w:t>
      </w:r>
      <w:r>
        <w:rPr>
          <w:spacing w:val="40"/>
        </w:rPr>
        <w:t> </w:t>
      </w:r>
      <w:r>
        <w:rPr/>
        <w:t>Since 2013, the survey has been administered in partnership</w:t>
      </w:r>
      <w:r>
        <w:rPr>
          <w:spacing w:val="-2"/>
        </w:rPr>
        <w:t> </w:t>
      </w:r>
      <w:r>
        <w:rPr/>
        <w:t>with BAE</w:t>
      </w:r>
      <w:r>
        <w:rPr>
          <w:spacing w:val="-3"/>
        </w:rPr>
        <w:t> </w:t>
      </w:r>
      <w:r>
        <w:rPr/>
        <w:t>Urban Economics (BAE), a</w:t>
      </w:r>
      <w:r>
        <w:rPr>
          <w:spacing w:val="-1"/>
        </w:rPr>
        <w:t> </w:t>
      </w:r>
      <w:r>
        <w:rPr/>
        <w:t>private real estate consulting firm with</w:t>
      </w:r>
      <w:r>
        <w:rPr>
          <w:spacing w:val="-2"/>
        </w:rPr>
        <w:t> </w:t>
      </w:r>
      <w:r>
        <w:rPr/>
        <w:t>an office in</w:t>
      </w:r>
      <w:r>
        <w:rPr>
          <w:spacing w:val="-2"/>
        </w:rPr>
        <w:t> </w:t>
      </w:r>
      <w:r>
        <w:rPr/>
        <w:t>Downtown</w:t>
      </w:r>
      <w:r>
        <w:rPr>
          <w:spacing w:val="-2"/>
        </w:rPr>
        <w:t> </w:t>
      </w:r>
      <w:r>
        <w:rPr/>
        <w:t>Davis.</w:t>
      </w:r>
      <w:r>
        <w:rPr>
          <w:spacing w:val="40"/>
        </w:rPr>
        <w:t> </w:t>
      </w:r>
      <w:r>
        <w:rPr/>
        <w:t>The objective of the</w:t>
      </w:r>
      <w:r>
        <w:rPr>
          <w:spacing w:val="-2"/>
        </w:rPr>
        <w:t> </w:t>
      </w:r>
      <w:r>
        <w:rPr/>
        <w:t>survey</w:t>
      </w:r>
      <w:r>
        <w:rPr>
          <w:spacing w:val="-3"/>
        </w:rPr>
        <w:t> </w:t>
      </w:r>
      <w:r>
        <w:rPr/>
        <w:t>is to provide information</w:t>
      </w:r>
      <w:r>
        <w:rPr>
          <w:spacing w:val="-2"/>
        </w:rPr>
        <w:t> </w:t>
      </w:r>
      <w:r>
        <w:rPr/>
        <w:t>that</w:t>
      </w:r>
      <w:r>
        <w:rPr>
          <w:spacing w:val="-3"/>
        </w:rPr>
        <w:t> </w:t>
      </w:r>
      <w:r>
        <w:rPr/>
        <w:t>will</w:t>
      </w:r>
      <w:r>
        <w:rPr>
          <w:spacing w:val="-5"/>
        </w:rPr>
        <w:t> </w:t>
      </w:r>
      <w:r>
        <w:rPr/>
        <w:t>help</w:t>
      </w:r>
      <w:r>
        <w:rPr>
          <w:spacing w:val="-2"/>
        </w:rPr>
        <w:t> </w:t>
      </w:r>
      <w:r>
        <w:rPr/>
        <w:t>inform</w:t>
      </w:r>
      <w:r>
        <w:rPr>
          <w:spacing w:val="-2"/>
        </w:rPr>
        <w:t> </w:t>
      </w:r>
      <w:r>
        <w:rPr/>
        <w:t>planning</w:t>
      </w:r>
      <w:r>
        <w:rPr>
          <w:spacing w:val="-2"/>
        </w:rPr>
        <w:t> </w:t>
      </w:r>
      <w:r>
        <w:rPr/>
        <w:t>decisions</w:t>
      </w:r>
      <w:r>
        <w:rPr>
          <w:spacing w:val="-4"/>
        </w:rPr>
        <w:t> </w:t>
      </w:r>
      <w:r>
        <w:rPr/>
        <w:t>on</w:t>
      </w:r>
      <w:r>
        <w:rPr>
          <w:spacing w:val="-2"/>
        </w:rPr>
        <w:t> </w:t>
      </w:r>
      <w:r>
        <w:rPr/>
        <w:t>campus</w:t>
      </w:r>
      <w:r>
        <w:rPr>
          <w:spacing w:val="-2"/>
        </w:rPr>
        <w:t> </w:t>
      </w:r>
      <w:r>
        <w:rPr/>
        <w:t>and throughout</w:t>
      </w:r>
      <w:r>
        <w:rPr>
          <w:spacing w:val="-3"/>
        </w:rPr>
        <w:t> </w:t>
      </w:r>
      <w:r>
        <w:rPr/>
        <w:t>the</w:t>
      </w:r>
      <w:r>
        <w:rPr>
          <w:spacing w:val="-2"/>
        </w:rPr>
        <w:t> </w:t>
      </w:r>
      <w:r>
        <w:rPr/>
        <w:t>broader Davis area.</w:t>
      </w:r>
      <w:r>
        <w:rPr>
          <w:spacing w:val="40"/>
        </w:rPr>
        <w:t> </w:t>
      </w:r>
      <w:r>
        <w:rPr/>
        <w:t>For example, survey results help campus officials assess the current housing market</w:t>
      </w:r>
      <w:r>
        <w:rPr>
          <w:spacing w:val="-10"/>
        </w:rPr>
        <w:t> </w:t>
      </w:r>
      <w:r>
        <w:rPr/>
        <w:t>conditions</w:t>
      </w:r>
      <w:r>
        <w:rPr>
          <w:spacing w:val="-10"/>
        </w:rPr>
        <w:t> </w:t>
      </w:r>
      <w:r>
        <w:rPr/>
        <w:t>faced</w:t>
      </w:r>
      <w:r>
        <w:rPr>
          <w:spacing w:val="-9"/>
        </w:rPr>
        <w:t> </w:t>
      </w:r>
      <w:r>
        <w:rPr/>
        <w:t>by</w:t>
      </w:r>
      <w:r>
        <w:rPr>
          <w:spacing w:val="-9"/>
        </w:rPr>
        <w:t> </w:t>
      </w:r>
      <w:r>
        <w:rPr/>
        <w:t>UC</w:t>
      </w:r>
      <w:r>
        <w:rPr>
          <w:spacing w:val="-9"/>
        </w:rPr>
        <w:t> </w:t>
      </w:r>
      <w:r>
        <w:rPr/>
        <w:t>Davis</w:t>
      </w:r>
      <w:r>
        <w:rPr>
          <w:spacing w:val="-9"/>
        </w:rPr>
        <w:t> </w:t>
      </w:r>
      <w:r>
        <w:rPr/>
        <w:t>students,</w:t>
      </w:r>
      <w:r>
        <w:rPr>
          <w:spacing w:val="-11"/>
        </w:rPr>
        <w:t> </w:t>
      </w:r>
      <w:r>
        <w:rPr/>
        <w:t>faculty,</w:t>
      </w:r>
      <w:r>
        <w:rPr>
          <w:spacing w:val="-9"/>
        </w:rPr>
        <w:t> </w:t>
      </w:r>
      <w:r>
        <w:rPr/>
        <w:t>and</w:t>
      </w:r>
      <w:r>
        <w:rPr>
          <w:spacing w:val="-11"/>
        </w:rPr>
        <w:t> </w:t>
      </w:r>
      <w:r>
        <w:rPr/>
        <w:t>staff.</w:t>
      </w:r>
      <w:r>
        <w:rPr>
          <w:spacing w:val="35"/>
        </w:rPr>
        <w:t> </w:t>
      </w:r>
      <w:r>
        <w:rPr/>
        <w:t>The</w:t>
      </w:r>
      <w:r>
        <w:rPr>
          <w:spacing w:val="-9"/>
        </w:rPr>
        <w:t> </w:t>
      </w:r>
      <w:r>
        <w:rPr/>
        <w:t>survey</w:t>
      </w:r>
      <w:r>
        <w:rPr>
          <w:spacing w:val="-9"/>
        </w:rPr>
        <w:t> </w:t>
      </w:r>
      <w:r>
        <w:rPr/>
        <w:t>results</w:t>
      </w:r>
      <w:r>
        <w:rPr>
          <w:spacing w:val="-11"/>
        </w:rPr>
        <w:t> </w:t>
      </w:r>
      <w:r>
        <w:rPr/>
        <w:t>also</w:t>
      </w:r>
      <w:r>
        <w:rPr>
          <w:spacing w:val="-9"/>
        </w:rPr>
        <w:t> </w:t>
      </w:r>
      <w:r>
        <w:rPr/>
        <w:t>help the university to assess the likely feasibility of proposed campus housing projects.</w:t>
      </w:r>
    </w:p>
    <w:p>
      <w:pPr>
        <w:spacing w:before="220"/>
        <w:ind w:left="1008" w:right="0" w:firstLine="0"/>
        <w:jc w:val="left"/>
        <w:rPr>
          <w:sz w:val="28"/>
        </w:rPr>
      </w:pPr>
      <w:r>
        <w:rPr>
          <w:sz w:val="28"/>
        </w:rPr>
        <w:t>2021</w:t>
      </w:r>
      <w:r>
        <w:rPr>
          <w:spacing w:val="-5"/>
          <w:sz w:val="28"/>
        </w:rPr>
        <w:t> </w:t>
      </w:r>
      <w:r>
        <w:rPr>
          <w:sz w:val="28"/>
        </w:rPr>
        <w:t>Survey</w:t>
      </w:r>
      <w:r>
        <w:rPr>
          <w:spacing w:val="-4"/>
          <w:sz w:val="28"/>
        </w:rPr>
        <w:t> </w:t>
      </w:r>
      <w:r>
        <w:rPr>
          <w:spacing w:val="-2"/>
          <w:sz w:val="28"/>
        </w:rPr>
        <w:t>Results</w:t>
      </w:r>
    </w:p>
    <w:p>
      <w:pPr>
        <w:pStyle w:val="BodyText"/>
        <w:spacing w:line="288" w:lineRule="auto" w:before="52"/>
        <w:ind w:left="1008" w:right="1001"/>
      </w:pPr>
      <w:r>
        <w:rPr/>
        <w:t>In</w:t>
      </w:r>
      <w:r>
        <w:rPr>
          <w:spacing w:val="-1"/>
        </w:rPr>
        <w:t> </w:t>
      </w:r>
      <w:r>
        <w:rPr/>
        <w:t>2021,</w:t>
      </w:r>
      <w:r>
        <w:rPr>
          <w:spacing w:val="-1"/>
        </w:rPr>
        <w:t> </w:t>
      </w:r>
      <w:r>
        <w:rPr/>
        <w:t>a</w:t>
      </w:r>
      <w:r>
        <w:rPr>
          <w:spacing w:val="-1"/>
        </w:rPr>
        <w:t> </w:t>
      </w:r>
      <w:r>
        <w:rPr/>
        <w:t>total</w:t>
      </w:r>
      <w:r>
        <w:rPr>
          <w:spacing w:val="-1"/>
        </w:rPr>
        <w:t> </w:t>
      </w:r>
      <w:r>
        <w:rPr/>
        <w:t>of 119</w:t>
      </w:r>
      <w:r>
        <w:rPr>
          <w:spacing w:val="-3"/>
        </w:rPr>
        <w:t> </w:t>
      </w:r>
      <w:r>
        <w:rPr/>
        <w:t>apartment</w:t>
      </w:r>
      <w:r>
        <w:rPr>
          <w:spacing w:val="-2"/>
        </w:rPr>
        <w:t> </w:t>
      </w:r>
      <w:r>
        <w:rPr/>
        <w:t>complexes</w:t>
      </w:r>
      <w:r>
        <w:rPr>
          <w:spacing w:val="-3"/>
        </w:rPr>
        <w:t> </w:t>
      </w:r>
      <w:r>
        <w:rPr/>
        <w:t>and</w:t>
      </w:r>
      <w:r>
        <w:rPr>
          <w:spacing w:val="-1"/>
        </w:rPr>
        <w:t> </w:t>
      </w:r>
      <w:r>
        <w:rPr/>
        <w:t>property</w:t>
      </w:r>
      <w:r>
        <w:rPr>
          <w:spacing w:val="-1"/>
        </w:rPr>
        <w:t> </w:t>
      </w:r>
      <w:r>
        <w:rPr/>
        <w:t>management</w:t>
      </w:r>
      <w:r>
        <w:rPr>
          <w:spacing w:val="-2"/>
        </w:rPr>
        <w:t> </w:t>
      </w:r>
      <w:r>
        <w:rPr/>
        <w:t>companies responded to the survey.</w:t>
      </w:r>
      <w:r>
        <w:rPr>
          <w:spacing w:val="40"/>
        </w:rPr>
        <w:t> </w:t>
      </w:r>
      <w:r>
        <w:rPr/>
        <w:t>These properties represent a total of 10,540 rental units.</w:t>
      </w:r>
      <w:r>
        <w:rPr>
          <w:spacing w:val="40"/>
        </w:rPr>
        <w:t> </w:t>
      </w:r>
      <w:r>
        <w:rPr/>
        <w:t>This is a four percent increase in the number</w:t>
      </w:r>
      <w:r>
        <w:rPr>
          <w:spacing w:val="-2"/>
        </w:rPr>
        <w:t> </w:t>
      </w:r>
      <w:r>
        <w:rPr/>
        <w:t>of respondent complexes compared to 2020, and</w:t>
      </w:r>
      <w:r>
        <w:rPr>
          <w:spacing w:val="-1"/>
        </w:rPr>
        <w:t> </w:t>
      </w:r>
      <w:r>
        <w:rPr/>
        <w:t>an 18 percent increase in the number of rental units covered in the response pool.</w:t>
      </w:r>
      <w:r>
        <w:rPr>
          <w:position w:val="5"/>
          <w:sz w:val="14"/>
        </w:rPr>
        <w:t>1</w:t>
      </w:r>
      <w:r>
        <w:rPr>
          <w:spacing w:val="80"/>
          <w:w w:val="150"/>
          <w:position w:val="5"/>
          <w:sz w:val="14"/>
        </w:rPr>
        <w:t> </w:t>
      </w:r>
      <w:r>
        <w:rPr/>
        <w:t>While the majority of these surveyed</w:t>
      </w:r>
      <w:r>
        <w:rPr>
          <w:spacing w:val="-1"/>
        </w:rPr>
        <w:t> </w:t>
      </w:r>
      <w:r>
        <w:rPr/>
        <w:t>properties lease</w:t>
      </w:r>
      <w:r>
        <w:rPr>
          <w:spacing w:val="-1"/>
        </w:rPr>
        <w:t> </w:t>
      </w:r>
      <w:r>
        <w:rPr/>
        <w:t>whole units, the</w:t>
      </w:r>
      <w:r>
        <w:rPr>
          <w:spacing w:val="-1"/>
        </w:rPr>
        <w:t> </w:t>
      </w:r>
      <w:r>
        <w:rPr/>
        <w:t>survey recorded a</w:t>
      </w:r>
      <w:r>
        <w:rPr>
          <w:spacing w:val="-1"/>
        </w:rPr>
        <w:t> </w:t>
      </w:r>
      <w:r>
        <w:rPr/>
        <w:t>total of</w:t>
      </w:r>
      <w:r>
        <w:rPr>
          <w:spacing w:val="-1"/>
        </w:rPr>
        <w:t> </w:t>
      </w:r>
      <w:r>
        <w:rPr/>
        <w:t>17 properties that lease a total of 2,996 units on a per-bed basis with</w:t>
      </w:r>
      <w:r>
        <w:rPr>
          <w:spacing w:val="-1"/>
        </w:rPr>
        <w:t> </w:t>
      </w:r>
      <w:r>
        <w:rPr/>
        <w:t>a total inventory of 9,376 leasable beds.</w:t>
      </w:r>
      <w:r>
        <w:rPr>
          <w:spacing w:val="40"/>
        </w:rPr>
        <w:t> </w:t>
      </w:r>
      <w:r>
        <w:rPr/>
        <w:t>This inventory of bed leasing properties represents nearly double the number of bed-leasing properties in prior survey periods.</w:t>
      </w:r>
      <w:r>
        <w:rPr>
          <w:spacing w:val="40"/>
        </w:rPr>
        <w:t> </w:t>
      </w:r>
      <w:r>
        <w:rPr/>
        <w:t>This increase is driven by several factors, including the delivery of new bed-leasing properties,</w:t>
      </w:r>
      <w:r>
        <w:rPr>
          <w:spacing w:val="-1"/>
        </w:rPr>
        <w:t> </w:t>
      </w:r>
      <w:r>
        <w:rPr/>
        <w:t>expansion of existing</w:t>
      </w:r>
      <w:r>
        <w:rPr>
          <w:spacing w:val="-1"/>
        </w:rPr>
        <w:t> </w:t>
      </w:r>
      <w:r>
        <w:rPr/>
        <w:t>bed-leasing properties,</w:t>
      </w:r>
      <w:r>
        <w:rPr>
          <w:spacing w:val="-14"/>
        </w:rPr>
        <w:t> </w:t>
      </w:r>
      <w:r>
        <w:rPr/>
        <w:t>conversion</w:t>
      </w:r>
      <w:r>
        <w:rPr>
          <w:spacing w:val="-12"/>
        </w:rPr>
        <w:t> </w:t>
      </w:r>
      <w:r>
        <w:rPr/>
        <w:t>of</w:t>
      </w:r>
      <w:r>
        <w:rPr>
          <w:spacing w:val="-14"/>
        </w:rPr>
        <w:t> </w:t>
      </w:r>
      <w:r>
        <w:rPr/>
        <w:t>unit-leasing</w:t>
      </w:r>
      <w:r>
        <w:rPr>
          <w:spacing w:val="-13"/>
        </w:rPr>
        <w:t> </w:t>
      </w:r>
      <w:r>
        <w:rPr/>
        <w:t>properties</w:t>
      </w:r>
      <w:r>
        <w:rPr>
          <w:spacing w:val="-13"/>
        </w:rPr>
        <w:t> </w:t>
      </w:r>
      <w:r>
        <w:rPr/>
        <w:t>to</w:t>
      </w:r>
      <w:r>
        <w:rPr>
          <w:spacing w:val="-14"/>
        </w:rPr>
        <w:t> </w:t>
      </w:r>
      <w:r>
        <w:rPr/>
        <w:t>a</w:t>
      </w:r>
      <w:r>
        <w:rPr>
          <w:spacing w:val="-13"/>
        </w:rPr>
        <w:t> </w:t>
      </w:r>
      <w:r>
        <w:rPr/>
        <w:t>bed</w:t>
      </w:r>
      <w:r>
        <w:rPr>
          <w:spacing w:val="-13"/>
        </w:rPr>
        <w:t> </w:t>
      </w:r>
      <w:r>
        <w:rPr/>
        <w:t>leasing</w:t>
      </w:r>
      <w:r>
        <w:rPr>
          <w:spacing w:val="-13"/>
        </w:rPr>
        <w:t> </w:t>
      </w:r>
      <w:r>
        <w:rPr/>
        <w:t>program,</w:t>
      </w:r>
      <w:r>
        <w:rPr>
          <w:spacing w:val="-13"/>
        </w:rPr>
        <w:t> </w:t>
      </w:r>
      <w:r>
        <w:rPr/>
        <w:t>and</w:t>
      </w:r>
      <w:r>
        <w:rPr>
          <w:spacing w:val="-13"/>
        </w:rPr>
        <w:t> </w:t>
      </w:r>
      <w:r>
        <w:rPr/>
        <w:t>a</w:t>
      </w:r>
      <w:r>
        <w:rPr>
          <w:spacing w:val="-14"/>
        </w:rPr>
        <w:t> </w:t>
      </w:r>
      <w:r>
        <w:rPr/>
        <w:t>slightly</w:t>
      </w:r>
      <w:r>
        <w:rPr>
          <w:spacing w:val="-14"/>
        </w:rPr>
        <w:t> </w:t>
      </w:r>
      <w:r>
        <w:rPr/>
        <w:t>higher response rate from bed-leasing properties relative to prior year surveys.</w:t>
      </w:r>
    </w:p>
    <w:p>
      <w:pPr>
        <w:pStyle w:val="BodyText"/>
        <w:spacing w:before="58"/>
      </w:pPr>
    </w:p>
    <w:p>
      <w:pPr>
        <w:pStyle w:val="BodyText"/>
        <w:spacing w:line="288" w:lineRule="auto"/>
        <w:ind w:left="1008" w:right="1001"/>
      </w:pPr>
      <w:r>
        <w:rPr/>
        <w:t>According</w:t>
      </w:r>
      <w:r>
        <w:rPr>
          <w:spacing w:val="-11"/>
        </w:rPr>
        <w:t> </w:t>
      </w:r>
      <w:r>
        <w:rPr/>
        <w:t>to</w:t>
      </w:r>
      <w:r>
        <w:rPr>
          <w:spacing w:val="-11"/>
        </w:rPr>
        <w:t> </w:t>
      </w:r>
      <w:r>
        <w:rPr/>
        <w:t>estimates</w:t>
      </w:r>
      <w:r>
        <w:rPr>
          <w:spacing w:val="-11"/>
        </w:rPr>
        <w:t> </w:t>
      </w:r>
      <w:r>
        <w:rPr/>
        <w:t>from</w:t>
      </w:r>
      <w:r>
        <w:rPr>
          <w:spacing w:val="-11"/>
        </w:rPr>
        <w:t> </w:t>
      </w:r>
      <w:r>
        <w:rPr/>
        <w:t>the</w:t>
      </w:r>
      <w:r>
        <w:rPr>
          <w:spacing w:val="-11"/>
        </w:rPr>
        <w:t> </w:t>
      </w:r>
      <w:r>
        <w:rPr/>
        <w:t>American</w:t>
      </w:r>
      <w:r>
        <w:rPr>
          <w:spacing w:val="-11"/>
        </w:rPr>
        <w:t> </w:t>
      </w:r>
      <w:r>
        <w:rPr/>
        <w:t>Community</w:t>
      </w:r>
      <w:r>
        <w:rPr>
          <w:spacing w:val="-11"/>
        </w:rPr>
        <w:t> </w:t>
      </w:r>
      <w:r>
        <w:rPr/>
        <w:t>Survey</w:t>
      </w:r>
      <w:r>
        <w:rPr>
          <w:spacing w:val="-11"/>
        </w:rPr>
        <w:t> </w:t>
      </w:r>
      <w:r>
        <w:rPr/>
        <w:t>(ACS)</w:t>
      </w:r>
      <w:r>
        <w:rPr>
          <w:spacing w:val="-9"/>
        </w:rPr>
        <w:t> </w:t>
      </w:r>
      <w:r>
        <w:rPr/>
        <w:t>there</w:t>
      </w:r>
      <w:r>
        <w:rPr>
          <w:spacing w:val="-11"/>
        </w:rPr>
        <w:t> </w:t>
      </w:r>
      <w:r>
        <w:rPr/>
        <w:t>were</w:t>
      </w:r>
      <w:r>
        <w:rPr>
          <w:spacing w:val="-13"/>
        </w:rPr>
        <w:t> </w:t>
      </w:r>
      <w:r>
        <w:rPr/>
        <w:t>approximately 11,975</w:t>
      </w:r>
      <w:r>
        <w:rPr>
          <w:spacing w:val="-12"/>
        </w:rPr>
        <w:t> </w:t>
      </w:r>
      <w:r>
        <w:rPr/>
        <w:t>multifamily</w:t>
      </w:r>
      <w:r>
        <w:rPr>
          <w:spacing w:val="-12"/>
        </w:rPr>
        <w:t> </w:t>
      </w:r>
      <w:r>
        <w:rPr/>
        <w:t>housing</w:t>
      </w:r>
      <w:r>
        <w:rPr>
          <w:spacing w:val="-10"/>
        </w:rPr>
        <w:t> </w:t>
      </w:r>
      <w:r>
        <w:rPr/>
        <w:t>units,</w:t>
      </w:r>
      <w:r>
        <w:rPr>
          <w:spacing w:val="-10"/>
        </w:rPr>
        <w:t> </w:t>
      </w:r>
      <w:r>
        <w:rPr/>
        <w:t>on</w:t>
      </w:r>
      <w:r>
        <w:rPr>
          <w:spacing w:val="-10"/>
        </w:rPr>
        <w:t> </w:t>
      </w:r>
      <w:r>
        <w:rPr/>
        <w:t>average,</w:t>
      </w:r>
      <w:r>
        <w:rPr>
          <w:spacing w:val="-12"/>
        </w:rPr>
        <w:t> </w:t>
      </w:r>
      <w:r>
        <w:rPr/>
        <w:t>on</w:t>
      </w:r>
      <w:r>
        <w:rPr>
          <w:spacing w:val="-10"/>
        </w:rPr>
        <w:t> </w:t>
      </w:r>
      <w:r>
        <w:rPr/>
        <w:t>the</w:t>
      </w:r>
      <w:r>
        <w:rPr>
          <w:spacing w:val="-10"/>
        </w:rPr>
        <w:t> </w:t>
      </w:r>
      <w:r>
        <w:rPr/>
        <w:t>UC</w:t>
      </w:r>
      <w:r>
        <w:rPr>
          <w:spacing w:val="-10"/>
        </w:rPr>
        <w:t> </w:t>
      </w:r>
      <w:r>
        <w:rPr/>
        <w:t>Davis</w:t>
      </w:r>
      <w:r>
        <w:rPr>
          <w:spacing w:val="-12"/>
        </w:rPr>
        <w:t> </w:t>
      </w:r>
      <w:r>
        <w:rPr/>
        <w:t>campus</w:t>
      </w:r>
      <w:r>
        <w:rPr>
          <w:spacing w:val="-12"/>
        </w:rPr>
        <w:t> </w:t>
      </w:r>
      <w:r>
        <w:rPr/>
        <w:t>and</w:t>
      </w:r>
      <w:r>
        <w:rPr>
          <w:spacing w:val="-10"/>
        </w:rPr>
        <w:t> </w:t>
      </w:r>
      <w:r>
        <w:rPr/>
        <w:t>in</w:t>
      </w:r>
      <w:r>
        <w:rPr>
          <w:spacing w:val="-12"/>
        </w:rPr>
        <w:t> </w:t>
      </w:r>
      <w:r>
        <w:rPr/>
        <w:t>the</w:t>
      </w:r>
      <w:r>
        <w:rPr>
          <w:spacing w:val="-10"/>
        </w:rPr>
        <w:t> </w:t>
      </w:r>
      <w:r>
        <w:rPr/>
        <w:t>City</w:t>
      </w:r>
      <w:r>
        <w:rPr>
          <w:spacing w:val="-10"/>
        </w:rPr>
        <w:t> </w:t>
      </w:r>
      <w:r>
        <w:rPr/>
        <w:t>of</w:t>
      </w:r>
      <w:r>
        <w:rPr>
          <w:spacing w:val="-12"/>
        </w:rPr>
        <w:t> </w:t>
      </w:r>
      <w:r>
        <w:rPr/>
        <w:t>Davis between 2015 and 2019.</w:t>
      </w:r>
      <w:r>
        <w:rPr>
          <w:position w:val="5"/>
          <w:sz w:val="14"/>
        </w:rPr>
        <w:t>2</w:t>
      </w:r>
      <w:r>
        <w:rPr>
          <w:spacing w:val="25"/>
          <w:position w:val="5"/>
          <w:sz w:val="14"/>
        </w:rPr>
        <w:t> </w:t>
      </w:r>
      <w:r>
        <w:rPr>
          <w:position w:val="5"/>
          <w:sz w:val="14"/>
        </w:rPr>
        <w:t>3</w:t>
      </w:r>
      <w:r>
        <w:rPr>
          <w:spacing w:val="80"/>
          <w:position w:val="5"/>
          <w:sz w:val="14"/>
        </w:rPr>
        <w:t> </w:t>
      </w:r>
      <w:r>
        <w:rPr/>
        <w:t>This indicates that the units captured in the 2021 survey</w:t>
      </w:r>
      <w:r>
        <w:rPr/>
        <w:t> account</w:t>
      </w:r>
      <w:r>
        <w:rPr>
          <w:spacing w:val="-4"/>
        </w:rPr>
        <w:t> </w:t>
      </w:r>
      <w:r>
        <w:rPr/>
        <w:t>for</w:t>
      </w:r>
      <w:r>
        <w:rPr>
          <w:spacing w:val="-1"/>
        </w:rPr>
        <w:t> </w:t>
      </w:r>
      <w:r>
        <w:rPr/>
        <w:t>approximately</w:t>
      </w:r>
      <w:r>
        <w:rPr>
          <w:spacing w:val="-1"/>
        </w:rPr>
        <w:t> </w:t>
      </w:r>
      <w:r>
        <w:rPr/>
        <w:t>88</w:t>
      </w:r>
      <w:r>
        <w:rPr>
          <w:spacing w:val="-1"/>
        </w:rPr>
        <w:t> </w:t>
      </w:r>
      <w:r>
        <w:rPr/>
        <w:t>percent</w:t>
      </w:r>
      <w:r>
        <w:rPr>
          <w:spacing w:val="-1"/>
        </w:rPr>
        <w:t> </w:t>
      </w:r>
      <w:r>
        <w:rPr/>
        <w:t>of</w:t>
      </w:r>
      <w:r>
        <w:rPr>
          <w:spacing w:val="-1"/>
        </w:rPr>
        <w:t> </w:t>
      </w:r>
      <w:r>
        <w:rPr/>
        <w:t>the</w:t>
      </w:r>
      <w:r>
        <w:rPr>
          <w:spacing w:val="-3"/>
        </w:rPr>
        <w:t> </w:t>
      </w:r>
      <w:r>
        <w:rPr/>
        <w:t>Davis</w:t>
      </w:r>
      <w:r>
        <w:rPr>
          <w:spacing w:val="-1"/>
        </w:rPr>
        <w:t> </w:t>
      </w:r>
      <w:r>
        <w:rPr/>
        <w:t>area</w:t>
      </w:r>
      <w:r>
        <w:rPr>
          <w:spacing w:val="-1"/>
        </w:rPr>
        <w:t> </w:t>
      </w:r>
      <w:r>
        <w:rPr/>
        <w:t>multifamily</w:t>
      </w:r>
      <w:r>
        <w:rPr>
          <w:spacing w:val="-2"/>
        </w:rPr>
        <w:t> </w:t>
      </w:r>
      <w:r>
        <w:rPr/>
        <w:t>housing</w:t>
      </w:r>
      <w:r>
        <w:rPr>
          <w:spacing w:val="-4"/>
        </w:rPr>
        <w:t> </w:t>
      </w:r>
      <w:r>
        <w:rPr/>
        <w:t>stock.</w:t>
      </w:r>
    </w:p>
    <w:p>
      <w:pPr>
        <w:pStyle w:val="BodyText"/>
        <w:spacing w:before="5"/>
        <w:rPr>
          <w:sz w:val="16"/>
        </w:rPr>
      </w:pPr>
      <w:r>
        <w:rPr>
          <w:sz w:val="16"/>
        </w:rPr>
        <mc:AlternateContent>
          <mc:Choice Requires="wps">
            <w:drawing>
              <wp:anchor distT="0" distB="0" distL="0" distR="0" allowOverlap="1" layoutInCell="1" locked="0" behindDoc="1" simplePos="0" relativeHeight="487587840">
                <wp:simplePos x="0" y="0"/>
                <wp:positionH relativeFrom="page">
                  <wp:posOffset>1097584</wp:posOffset>
                </wp:positionH>
                <wp:positionV relativeFrom="paragraph">
                  <wp:posOffset>133690</wp:posOffset>
                </wp:positionV>
                <wp:extent cx="1829435"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24004pt;margin-top:10.526796pt;width:144.020pt;height:.60004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rPr>
          <w:sz w:val="18"/>
        </w:rPr>
      </w:pPr>
    </w:p>
    <w:p>
      <w:pPr>
        <w:pStyle w:val="BodyText"/>
        <w:spacing w:before="82"/>
        <w:rPr>
          <w:sz w:val="18"/>
        </w:rPr>
      </w:pPr>
    </w:p>
    <w:p>
      <w:pPr>
        <w:spacing w:line="352" w:lineRule="auto" w:before="0"/>
        <w:ind w:left="1008" w:right="1001" w:firstLine="0"/>
        <w:jc w:val="left"/>
        <w:rPr>
          <w:sz w:val="18"/>
        </w:rPr>
      </w:pPr>
      <w:r>
        <w:rPr>
          <w:position w:val="4"/>
          <w:sz w:val="12"/>
        </w:rPr>
        <w:t>1</w:t>
      </w:r>
      <w:r>
        <w:rPr>
          <w:spacing w:val="-2"/>
          <w:position w:val="4"/>
          <w:sz w:val="12"/>
        </w:rPr>
        <w:t> </w:t>
      </w:r>
      <w:r>
        <w:rPr>
          <w:sz w:val="18"/>
        </w:rPr>
        <w:t>BAE</w:t>
      </w:r>
      <w:r>
        <w:rPr>
          <w:spacing w:val="-11"/>
          <w:sz w:val="18"/>
        </w:rPr>
        <w:t> </w:t>
      </w:r>
      <w:r>
        <w:rPr>
          <w:sz w:val="18"/>
        </w:rPr>
        <w:t>received</w:t>
      </w:r>
      <w:r>
        <w:rPr>
          <w:spacing w:val="-11"/>
          <w:sz w:val="18"/>
        </w:rPr>
        <w:t> </w:t>
      </w:r>
      <w:r>
        <w:rPr>
          <w:sz w:val="18"/>
        </w:rPr>
        <w:t>responses</w:t>
      </w:r>
      <w:r>
        <w:rPr>
          <w:spacing w:val="-12"/>
          <w:sz w:val="18"/>
        </w:rPr>
        <w:t> </w:t>
      </w:r>
      <w:r>
        <w:rPr>
          <w:sz w:val="18"/>
        </w:rPr>
        <w:t>from</w:t>
      </w:r>
      <w:r>
        <w:rPr>
          <w:spacing w:val="-11"/>
          <w:sz w:val="18"/>
        </w:rPr>
        <w:t> </w:t>
      </w:r>
      <w:r>
        <w:rPr>
          <w:sz w:val="18"/>
        </w:rPr>
        <w:t>114</w:t>
      </w:r>
      <w:r>
        <w:rPr>
          <w:spacing w:val="-11"/>
          <w:sz w:val="18"/>
        </w:rPr>
        <w:t> </w:t>
      </w:r>
      <w:r>
        <w:rPr>
          <w:sz w:val="18"/>
        </w:rPr>
        <w:t>unique</w:t>
      </w:r>
      <w:r>
        <w:rPr>
          <w:spacing w:val="-11"/>
          <w:sz w:val="18"/>
        </w:rPr>
        <w:t> </w:t>
      </w:r>
      <w:r>
        <w:rPr>
          <w:sz w:val="18"/>
        </w:rPr>
        <w:t>apartment</w:t>
      </w:r>
      <w:r>
        <w:rPr>
          <w:spacing w:val="-12"/>
          <w:sz w:val="18"/>
        </w:rPr>
        <w:t> </w:t>
      </w:r>
      <w:r>
        <w:rPr>
          <w:sz w:val="18"/>
        </w:rPr>
        <w:t>complexes</w:t>
      </w:r>
      <w:r>
        <w:rPr>
          <w:spacing w:val="-11"/>
          <w:sz w:val="18"/>
        </w:rPr>
        <w:t> </w:t>
      </w:r>
      <w:r>
        <w:rPr>
          <w:sz w:val="18"/>
        </w:rPr>
        <w:t>and</w:t>
      </w:r>
      <w:r>
        <w:rPr>
          <w:spacing w:val="-11"/>
          <w:sz w:val="18"/>
        </w:rPr>
        <w:t> </w:t>
      </w:r>
      <w:r>
        <w:rPr>
          <w:sz w:val="18"/>
        </w:rPr>
        <w:t>property</w:t>
      </w:r>
      <w:r>
        <w:rPr>
          <w:spacing w:val="-11"/>
          <w:sz w:val="18"/>
        </w:rPr>
        <w:t> </w:t>
      </w:r>
      <w:r>
        <w:rPr>
          <w:sz w:val="18"/>
        </w:rPr>
        <w:t>management</w:t>
      </w:r>
      <w:r>
        <w:rPr>
          <w:spacing w:val="-12"/>
          <w:sz w:val="18"/>
        </w:rPr>
        <w:t> </w:t>
      </w:r>
      <w:r>
        <w:rPr>
          <w:sz w:val="18"/>
        </w:rPr>
        <w:t>companies</w:t>
      </w:r>
      <w:r>
        <w:rPr>
          <w:spacing w:val="-11"/>
          <w:sz w:val="18"/>
        </w:rPr>
        <w:t> </w:t>
      </w:r>
      <w:r>
        <w:rPr>
          <w:sz w:val="18"/>
        </w:rPr>
        <w:t>as</w:t>
      </w:r>
      <w:r>
        <w:rPr>
          <w:spacing w:val="-11"/>
          <w:sz w:val="18"/>
        </w:rPr>
        <w:t> </w:t>
      </w:r>
      <w:r>
        <w:rPr>
          <w:sz w:val="18"/>
        </w:rPr>
        <w:t>part</w:t>
      </w:r>
      <w:r>
        <w:rPr>
          <w:spacing w:val="-11"/>
          <w:sz w:val="18"/>
        </w:rPr>
        <w:t> </w:t>
      </w:r>
      <w:r>
        <w:rPr>
          <w:sz w:val="18"/>
        </w:rPr>
        <w:t>of the 2020 survey, representing 8,938 rental units.</w:t>
      </w:r>
    </w:p>
    <w:p>
      <w:pPr>
        <w:spacing w:before="0"/>
        <w:ind w:left="1008" w:right="0" w:firstLine="0"/>
        <w:jc w:val="left"/>
        <w:rPr>
          <w:sz w:val="18"/>
        </w:rPr>
      </w:pPr>
      <w:r>
        <w:rPr>
          <w:position w:val="4"/>
          <w:sz w:val="12"/>
        </w:rPr>
        <w:t>2</w:t>
      </w:r>
      <w:r>
        <w:rPr>
          <w:spacing w:val="8"/>
          <w:position w:val="4"/>
          <w:sz w:val="12"/>
        </w:rPr>
        <w:t> </w:t>
      </w:r>
      <w:r>
        <w:rPr>
          <w:sz w:val="18"/>
        </w:rPr>
        <w:t>Includes</w:t>
      </w:r>
      <w:r>
        <w:rPr>
          <w:spacing w:val="-5"/>
          <w:sz w:val="18"/>
        </w:rPr>
        <w:t> </w:t>
      </w:r>
      <w:r>
        <w:rPr>
          <w:sz w:val="18"/>
        </w:rPr>
        <w:t>the</w:t>
      </w:r>
      <w:r>
        <w:rPr>
          <w:spacing w:val="-8"/>
          <w:sz w:val="18"/>
        </w:rPr>
        <w:t> </w:t>
      </w:r>
      <w:r>
        <w:rPr>
          <w:sz w:val="18"/>
        </w:rPr>
        <w:t>City</w:t>
      </w:r>
      <w:r>
        <w:rPr>
          <w:spacing w:val="-6"/>
          <w:sz w:val="18"/>
        </w:rPr>
        <w:t> </w:t>
      </w:r>
      <w:r>
        <w:rPr>
          <w:sz w:val="18"/>
        </w:rPr>
        <w:t>of</w:t>
      </w:r>
      <w:r>
        <w:rPr>
          <w:spacing w:val="-4"/>
          <w:sz w:val="18"/>
        </w:rPr>
        <w:t> </w:t>
      </w:r>
      <w:r>
        <w:rPr>
          <w:sz w:val="18"/>
        </w:rPr>
        <w:t>Davis</w:t>
      </w:r>
      <w:r>
        <w:rPr>
          <w:spacing w:val="-6"/>
          <w:sz w:val="18"/>
        </w:rPr>
        <w:t> </w:t>
      </w:r>
      <w:r>
        <w:rPr>
          <w:sz w:val="18"/>
        </w:rPr>
        <w:t>and</w:t>
      </w:r>
      <w:r>
        <w:rPr>
          <w:spacing w:val="-6"/>
          <w:sz w:val="18"/>
        </w:rPr>
        <w:t> </w:t>
      </w:r>
      <w:r>
        <w:rPr>
          <w:sz w:val="18"/>
        </w:rPr>
        <w:t>the</w:t>
      </w:r>
      <w:r>
        <w:rPr>
          <w:spacing w:val="-5"/>
          <w:sz w:val="18"/>
        </w:rPr>
        <w:t> </w:t>
      </w:r>
      <w:r>
        <w:rPr>
          <w:sz w:val="18"/>
        </w:rPr>
        <w:t>Census</w:t>
      </w:r>
      <w:r>
        <w:rPr>
          <w:spacing w:val="-8"/>
          <w:sz w:val="18"/>
        </w:rPr>
        <w:t> </w:t>
      </w:r>
      <w:r>
        <w:rPr>
          <w:sz w:val="18"/>
        </w:rPr>
        <w:t>Block</w:t>
      </w:r>
      <w:r>
        <w:rPr>
          <w:spacing w:val="-4"/>
          <w:sz w:val="18"/>
        </w:rPr>
        <w:t> </w:t>
      </w:r>
      <w:r>
        <w:rPr>
          <w:sz w:val="18"/>
        </w:rPr>
        <w:t>Groups</w:t>
      </w:r>
      <w:r>
        <w:rPr>
          <w:spacing w:val="-6"/>
          <w:sz w:val="18"/>
        </w:rPr>
        <w:t> </w:t>
      </w:r>
      <w:r>
        <w:rPr>
          <w:sz w:val="18"/>
        </w:rPr>
        <w:t>1</w:t>
      </w:r>
      <w:r>
        <w:rPr>
          <w:spacing w:val="-8"/>
          <w:sz w:val="18"/>
        </w:rPr>
        <w:t> </w:t>
      </w:r>
      <w:r>
        <w:rPr>
          <w:sz w:val="18"/>
        </w:rPr>
        <w:t>and</w:t>
      </w:r>
      <w:r>
        <w:rPr>
          <w:spacing w:val="-8"/>
          <w:sz w:val="18"/>
        </w:rPr>
        <w:t> </w:t>
      </w:r>
      <w:r>
        <w:rPr>
          <w:sz w:val="18"/>
        </w:rPr>
        <w:t>2</w:t>
      </w:r>
      <w:r>
        <w:rPr>
          <w:spacing w:val="-5"/>
          <w:sz w:val="18"/>
        </w:rPr>
        <w:t> </w:t>
      </w:r>
      <w:r>
        <w:rPr>
          <w:sz w:val="18"/>
        </w:rPr>
        <w:t>in</w:t>
      </w:r>
      <w:r>
        <w:rPr>
          <w:spacing w:val="-6"/>
          <w:sz w:val="18"/>
        </w:rPr>
        <w:t> </w:t>
      </w:r>
      <w:r>
        <w:rPr>
          <w:sz w:val="18"/>
        </w:rPr>
        <w:t>Census</w:t>
      </w:r>
      <w:r>
        <w:rPr>
          <w:spacing w:val="-7"/>
          <w:sz w:val="18"/>
        </w:rPr>
        <w:t> </w:t>
      </w:r>
      <w:r>
        <w:rPr>
          <w:sz w:val="18"/>
        </w:rPr>
        <w:t>Tract</w:t>
      </w:r>
      <w:r>
        <w:rPr>
          <w:spacing w:val="-5"/>
          <w:sz w:val="18"/>
        </w:rPr>
        <w:t> </w:t>
      </w:r>
      <w:r>
        <w:rPr>
          <w:sz w:val="18"/>
        </w:rPr>
        <w:t>105.1</w:t>
      </w:r>
      <w:r>
        <w:rPr>
          <w:spacing w:val="-8"/>
          <w:sz w:val="18"/>
        </w:rPr>
        <w:t> </w:t>
      </w:r>
      <w:r>
        <w:rPr>
          <w:sz w:val="18"/>
        </w:rPr>
        <w:t>in</w:t>
      </w:r>
      <w:r>
        <w:rPr>
          <w:spacing w:val="-6"/>
          <w:sz w:val="18"/>
        </w:rPr>
        <w:t> </w:t>
      </w:r>
      <w:r>
        <w:rPr>
          <w:sz w:val="18"/>
        </w:rPr>
        <w:t>Yolo</w:t>
      </w:r>
      <w:r>
        <w:rPr>
          <w:spacing w:val="-7"/>
          <w:sz w:val="18"/>
        </w:rPr>
        <w:t> </w:t>
      </w:r>
      <w:r>
        <w:rPr>
          <w:sz w:val="18"/>
        </w:rPr>
        <w:t>County,</w:t>
      </w:r>
      <w:r>
        <w:rPr>
          <w:spacing w:val="-5"/>
          <w:sz w:val="18"/>
        </w:rPr>
        <w:t> </w:t>
      </w:r>
      <w:r>
        <w:rPr>
          <w:spacing w:val="-2"/>
          <w:sz w:val="18"/>
        </w:rPr>
        <w:t>California.</w:t>
      </w:r>
    </w:p>
    <w:p>
      <w:pPr>
        <w:spacing w:line="352" w:lineRule="auto" w:before="96"/>
        <w:ind w:left="1008" w:right="0" w:firstLine="0"/>
        <w:jc w:val="left"/>
        <w:rPr>
          <w:sz w:val="18"/>
        </w:rPr>
      </w:pPr>
      <w:r>
        <w:rPr>
          <w:position w:val="4"/>
          <w:sz w:val="12"/>
        </w:rPr>
        <w:t>3</w:t>
      </w:r>
      <w:r>
        <w:rPr>
          <w:spacing w:val="4"/>
          <w:position w:val="4"/>
          <w:sz w:val="12"/>
        </w:rPr>
        <w:t> </w:t>
      </w:r>
      <w:r>
        <w:rPr>
          <w:sz w:val="18"/>
        </w:rPr>
        <w:t>U.S.</w:t>
      </w:r>
      <w:r>
        <w:rPr>
          <w:spacing w:val="-10"/>
          <w:sz w:val="18"/>
        </w:rPr>
        <w:t> </w:t>
      </w:r>
      <w:r>
        <w:rPr>
          <w:sz w:val="18"/>
        </w:rPr>
        <w:t>Census</w:t>
      </w:r>
      <w:r>
        <w:rPr>
          <w:spacing w:val="-10"/>
          <w:sz w:val="18"/>
        </w:rPr>
        <w:t> </w:t>
      </w:r>
      <w:r>
        <w:rPr>
          <w:sz w:val="18"/>
        </w:rPr>
        <w:t>Bureau.</w:t>
      </w:r>
      <w:r>
        <w:rPr>
          <w:spacing w:val="24"/>
          <w:sz w:val="18"/>
        </w:rPr>
        <w:t> </w:t>
      </w:r>
      <w:r>
        <w:rPr>
          <w:sz w:val="18"/>
        </w:rPr>
        <w:t>2015-2019</w:t>
      </w:r>
      <w:r>
        <w:rPr>
          <w:spacing w:val="-10"/>
          <w:sz w:val="18"/>
        </w:rPr>
        <w:t> </w:t>
      </w:r>
      <w:r>
        <w:rPr>
          <w:sz w:val="18"/>
        </w:rPr>
        <w:t>American</w:t>
      </w:r>
      <w:r>
        <w:rPr>
          <w:spacing w:val="-9"/>
          <w:sz w:val="18"/>
        </w:rPr>
        <w:t> </w:t>
      </w:r>
      <w:r>
        <w:rPr>
          <w:sz w:val="18"/>
        </w:rPr>
        <w:t>Community</w:t>
      </w:r>
      <w:r>
        <w:rPr>
          <w:spacing w:val="-10"/>
          <w:sz w:val="18"/>
        </w:rPr>
        <w:t> </w:t>
      </w:r>
      <w:r>
        <w:rPr>
          <w:sz w:val="18"/>
        </w:rPr>
        <w:t>Survey</w:t>
      </w:r>
      <w:r>
        <w:rPr>
          <w:spacing w:val="-12"/>
          <w:sz w:val="18"/>
        </w:rPr>
        <w:t> </w:t>
      </w:r>
      <w:r>
        <w:rPr>
          <w:sz w:val="18"/>
        </w:rPr>
        <w:t>5-Year</w:t>
      </w:r>
      <w:r>
        <w:rPr>
          <w:spacing w:val="-9"/>
          <w:sz w:val="18"/>
        </w:rPr>
        <w:t> </w:t>
      </w:r>
      <w:r>
        <w:rPr>
          <w:sz w:val="18"/>
        </w:rPr>
        <w:t>Estimates,</w:t>
      </w:r>
      <w:r>
        <w:rPr>
          <w:spacing w:val="-10"/>
          <w:sz w:val="18"/>
        </w:rPr>
        <w:t> </w:t>
      </w:r>
      <w:r>
        <w:rPr>
          <w:sz w:val="18"/>
        </w:rPr>
        <w:t>Table</w:t>
      </w:r>
      <w:r>
        <w:rPr>
          <w:spacing w:val="-10"/>
          <w:sz w:val="18"/>
        </w:rPr>
        <w:t> </w:t>
      </w:r>
      <w:r>
        <w:rPr>
          <w:sz w:val="18"/>
        </w:rPr>
        <w:t>B25024.</w:t>
      </w:r>
      <w:r>
        <w:rPr>
          <w:spacing w:val="27"/>
          <w:sz w:val="18"/>
        </w:rPr>
        <w:t> </w:t>
      </w:r>
      <w:r>
        <w:rPr>
          <w:sz w:val="18"/>
        </w:rPr>
        <w:t>Retrieved</w:t>
      </w:r>
      <w:r>
        <w:rPr>
          <w:spacing w:val="-11"/>
          <w:sz w:val="18"/>
        </w:rPr>
        <w:t> </w:t>
      </w:r>
      <w:r>
        <w:rPr>
          <w:sz w:val="18"/>
        </w:rPr>
        <w:t>from: </w:t>
      </w:r>
      <w:hyperlink r:id="rId5">
        <w:r>
          <w:rPr>
            <w:color w:val="4B5E7B"/>
            <w:spacing w:val="-2"/>
            <w:sz w:val="18"/>
            <w:u w:val="single" w:color="4B5E7B"/>
          </w:rPr>
          <w:t>http://data.census.gov/</w:t>
        </w:r>
      </w:hyperlink>
    </w:p>
    <w:p>
      <w:pPr>
        <w:pStyle w:val="BodyText"/>
        <w:spacing w:before="8"/>
        <w:rPr>
          <w:sz w:val="17"/>
        </w:rPr>
      </w:pPr>
    </w:p>
    <w:tbl>
      <w:tblPr>
        <w:tblW w:w="0" w:type="auto"/>
        <w:jc w:val="left"/>
        <w:tblInd w:w="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90"/>
        <w:gridCol w:w="1888"/>
        <w:gridCol w:w="2540"/>
        <w:gridCol w:w="2260"/>
        <w:gridCol w:w="1742"/>
      </w:tblGrid>
      <w:tr>
        <w:trPr>
          <w:trHeight w:val="199" w:hRule="atLeast"/>
        </w:trPr>
        <w:tc>
          <w:tcPr>
            <w:tcW w:w="1890" w:type="dxa"/>
          </w:tcPr>
          <w:p>
            <w:pPr>
              <w:pStyle w:val="TableParagraph"/>
              <w:spacing w:line="179" w:lineRule="exact"/>
              <w:ind w:left="50"/>
              <w:rPr>
                <w:rFonts w:ascii="Trebuchet MS"/>
                <w:sz w:val="16"/>
              </w:rPr>
            </w:pPr>
            <w:r>
              <w:rPr>
                <w:rFonts w:ascii="Trebuchet MS"/>
                <w:color w:val="92D050"/>
                <w:sz w:val="16"/>
              </w:rPr>
              <w:t>San</w:t>
            </w:r>
            <w:r>
              <w:rPr>
                <w:rFonts w:ascii="Trebuchet MS"/>
                <w:color w:val="92D050"/>
                <w:spacing w:val="-2"/>
                <w:sz w:val="16"/>
              </w:rPr>
              <w:t> Francisco</w:t>
            </w:r>
          </w:p>
        </w:tc>
        <w:tc>
          <w:tcPr>
            <w:tcW w:w="1888" w:type="dxa"/>
          </w:tcPr>
          <w:p>
            <w:pPr>
              <w:pStyle w:val="TableParagraph"/>
              <w:spacing w:line="179" w:lineRule="exact"/>
              <w:ind w:left="260"/>
              <w:rPr>
                <w:rFonts w:ascii="Trebuchet MS"/>
                <w:sz w:val="16"/>
              </w:rPr>
            </w:pPr>
            <w:r>
              <w:rPr>
                <w:rFonts w:ascii="Trebuchet MS"/>
                <w:color w:val="92D050"/>
                <w:spacing w:val="-2"/>
                <w:sz w:val="16"/>
              </w:rPr>
              <w:t>Sacramento</w:t>
            </w:r>
          </w:p>
        </w:tc>
        <w:tc>
          <w:tcPr>
            <w:tcW w:w="2540" w:type="dxa"/>
          </w:tcPr>
          <w:p>
            <w:pPr>
              <w:pStyle w:val="TableParagraph"/>
              <w:spacing w:line="179" w:lineRule="exact"/>
              <w:ind w:left="273"/>
              <w:rPr>
                <w:rFonts w:ascii="Trebuchet MS"/>
                <w:sz w:val="16"/>
              </w:rPr>
            </w:pPr>
            <w:r>
              <w:rPr>
                <w:rFonts w:ascii="Trebuchet MS"/>
                <w:color w:val="92D050"/>
                <w:sz w:val="16"/>
              </w:rPr>
              <w:t>Los </w:t>
            </w:r>
            <w:r>
              <w:rPr>
                <w:rFonts w:ascii="Trebuchet MS"/>
                <w:color w:val="92D050"/>
                <w:spacing w:val="-2"/>
                <w:sz w:val="16"/>
              </w:rPr>
              <w:t>Angeles</w:t>
            </w:r>
          </w:p>
        </w:tc>
        <w:tc>
          <w:tcPr>
            <w:tcW w:w="2260" w:type="dxa"/>
          </w:tcPr>
          <w:p>
            <w:pPr>
              <w:pStyle w:val="TableParagraph"/>
              <w:spacing w:line="179" w:lineRule="exact"/>
              <w:ind w:left="251"/>
              <w:rPr>
                <w:rFonts w:ascii="Trebuchet MS"/>
                <w:sz w:val="16"/>
              </w:rPr>
            </w:pPr>
            <w:r>
              <w:rPr>
                <w:rFonts w:ascii="Trebuchet MS"/>
                <w:color w:val="92D050"/>
                <w:sz w:val="16"/>
              </w:rPr>
              <w:t>Washington</w:t>
            </w:r>
            <w:r>
              <w:rPr>
                <w:rFonts w:ascii="Trebuchet MS"/>
                <w:color w:val="92D050"/>
                <w:spacing w:val="-8"/>
                <w:sz w:val="16"/>
              </w:rPr>
              <w:t> </w:t>
            </w:r>
            <w:r>
              <w:rPr>
                <w:rFonts w:ascii="Trebuchet MS"/>
                <w:color w:val="92D050"/>
                <w:spacing w:val="-5"/>
                <w:sz w:val="16"/>
              </w:rPr>
              <w:t>DC</w:t>
            </w:r>
          </w:p>
        </w:tc>
        <w:tc>
          <w:tcPr>
            <w:tcW w:w="1742" w:type="dxa"/>
          </w:tcPr>
          <w:p>
            <w:pPr>
              <w:pStyle w:val="TableParagraph"/>
              <w:spacing w:line="179" w:lineRule="exact"/>
              <w:ind w:left="241"/>
              <w:rPr>
                <w:rFonts w:ascii="Trebuchet MS"/>
                <w:sz w:val="16"/>
              </w:rPr>
            </w:pPr>
            <w:r>
              <w:rPr>
                <w:rFonts w:ascii="Trebuchet MS"/>
                <w:color w:val="92D050"/>
                <w:sz w:val="16"/>
              </w:rPr>
              <w:t>New</w:t>
            </w:r>
            <w:r>
              <w:rPr>
                <w:rFonts w:ascii="Trebuchet MS"/>
                <w:color w:val="92D050"/>
                <w:spacing w:val="-5"/>
                <w:sz w:val="16"/>
              </w:rPr>
              <w:t> </w:t>
            </w:r>
            <w:r>
              <w:rPr>
                <w:rFonts w:ascii="Trebuchet MS"/>
                <w:color w:val="92D050"/>
                <w:sz w:val="16"/>
              </w:rPr>
              <w:t>York</w:t>
            </w:r>
            <w:r>
              <w:rPr>
                <w:rFonts w:ascii="Trebuchet MS"/>
                <w:color w:val="92D050"/>
                <w:spacing w:val="-2"/>
                <w:sz w:val="16"/>
              </w:rPr>
              <w:t> </w:t>
            </w:r>
            <w:r>
              <w:rPr>
                <w:rFonts w:ascii="Trebuchet MS"/>
                <w:color w:val="92D050"/>
                <w:spacing w:val="-4"/>
                <w:sz w:val="16"/>
              </w:rPr>
              <w:t>City</w:t>
            </w:r>
          </w:p>
        </w:tc>
      </w:tr>
      <w:tr>
        <w:trPr>
          <w:trHeight w:val="217" w:hRule="atLeast"/>
        </w:trPr>
        <w:tc>
          <w:tcPr>
            <w:tcW w:w="1890" w:type="dxa"/>
          </w:tcPr>
          <w:p>
            <w:pPr>
              <w:pStyle w:val="TableParagraph"/>
              <w:spacing w:line="181" w:lineRule="exact" w:before="17"/>
              <w:ind w:left="50"/>
              <w:rPr>
                <w:rFonts w:ascii="Trebuchet MS"/>
                <w:sz w:val="16"/>
              </w:rPr>
            </w:pPr>
            <w:r>
              <w:rPr>
                <w:rFonts w:ascii="Trebuchet MS"/>
                <w:color w:val="808080"/>
                <w:sz w:val="16"/>
              </w:rPr>
              <w:t>2560</w:t>
            </w:r>
            <w:r>
              <w:rPr>
                <w:rFonts w:ascii="Trebuchet MS"/>
                <w:color w:val="808080"/>
                <w:spacing w:val="-4"/>
                <w:sz w:val="16"/>
              </w:rPr>
              <w:t> </w:t>
            </w:r>
            <w:r>
              <w:rPr>
                <w:rFonts w:ascii="Trebuchet MS"/>
                <w:color w:val="808080"/>
                <w:sz w:val="16"/>
              </w:rPr>
              <w:t>9</w:t>
            </w:r>
            <w:r>
              <w:rPr>
                <w:rFonts w:ascii="Trebuchet MS"/>
                <w:color w:val="808080"/>
                <w:sz w:val="16"/>
                <w:vertAlign w:val="superscript"/>
              </w:rPr>
              <w:t>th</w:t>
            </w:r>
            <w:r>
              <w:rPr>
                <w:rFonts w:ascii="Trebuchet MS"/>
                <w:color w:val="808080"/>
                <w:spacing w:val="-4"/>
                <w:sz w:val="16"/>
                <w:vertAlign w:val="baseline"/>
              </w:rPr>
              <w:t> </w:t>
            </w:r>
            <w:r>
              <w:rPr>
                <w:rFonts w:ascii="Trebuchet MS"/>
                <w:color w:val="808080"/>
                <w:sz w:val="16"/>
                <w:vertAlign w:val="baseline"/>
              </w:rPr>
              <w:t>St.,</w:t>
            </w:r>
            <w:r>
              <w:rPr>
                <w:rFonts w:ascii="Trebuchet MS"/>
                <w:color w:val="808080"/>
                <w:spacing w:val="-3"/>
                <w:sz w:val="16"/>
                <w:vertAlign w:val="baseline"/>
              </w:rPr>
              <w:t> </w:t>
            </w:r>
            <w:r>
              <w:rPr>
                <w:rFonts w:ascii="Trebuchet MS"/>
                <w:color w:val="808080"/>
                <w:sz w:val="16"/>
                <w:vertAlign w:val="baseline"/>
              </w:rPr>
              <w:t>Suite</w:t>
            </w:r>
            <w:r>
              <w:rPr>
                <w:rFonts w:ascii="Trebuchet MS"/>
                <w:color w:val="808080"/>
                <w:spacing w:val="-3"/>
                <w:sz w:val="16"/>
                <w:vertAlign w:val="baseline"/>
              </w:rPr>
              <w:t> </w:t>
            </w:r>
            <w:r>
              <w:rPr>
                <w:rFonts w:ascii="Trebuchet MS"/>
                <w:color w:val="808080"/>
                <w:spacing w:val="-5"/>
                <w:sz w:val="16"/>
                <w:vertAlign w:val="baseline"/>
              </w:rPr>
              <w:t>211</w:t>
            </w:r>
          </w:p>
        </w:tc>
        <w:tc>
          <w:tcPr>
            <w:tcW w:w="1888" w:type="dxa"/>
          </w:tcPr>
          <w:p>
            <w:pPr>
              <w:pStyle w:val="TableParagraph"/>
              <w:spacing w:line="181" w:lineRule="exact" w:before="17"/>
              <w:ind w:left="260"/>
              <w:rPr>
                <w:rFonts w:ascii="Trebuchet MS"/>
                <w:sz w:val="16"/>
              </w:rPr>
            </w:pPr>
            <w:r>
              <w:rPr>
                <w:rFonts w:ascii="Trebuchet MS"/>
                <w:color w:val="808080"/>
                <w:sz w:val="16"/>
              </w:rPr>
              <w:t>803</w:t>
            </w:r>
            <w:r>
              <w:rPr>
                <w:rFonts w:ascii="Trebuchet MS"/>
                <w:color w:val="808080"/>
                <w:spacing w:val="-3"/>
                <w:sz w:val="16"/>
              </w:rPr>
              <w:t> </w:t>
            </w:r>
            <w:r>
              <w:rPr>
                <w:rFonts w:ascii="Trebuchet MS"/>
                <w:color w:val="808080"/>
                <w:sz w:val="16"/>
              </w:rPr>
              <w:t>2</w:t>
            </w:r>
            <w:r>
              <w:rPr>
                <w:rFonts w:ascii="Trebuchet MS"/>
                <w:color w:val="808080"/>
                <w:sz w:val="16"/>
                <w:vertAlign w:val="superscript"/>
              </w:rPr>
              <w:t>nd</w:t>
            </w:r>
            <w:r>
              <w:rPr>
                <w:rFonts w:ascii="Trebuchet MS"/>
                <w:color w:val="808080"/>
                <w:spacing w:val="-4"/>
                <w:sz w:val="16"/>
                <w:vertAlign w:val="baseline"/>
              </w:rPr>
              <w:t> </w:t>
            </w:r>
            <w:r>
              <w:rPr>
                <w:rFonts w:ascii="Trebuchet MS"/>
                <w:color w:val="808080"/>
                <w:sz w:val="16"/>
                <w:vertAlign w:val="baseline"/>
              </w:rPr>
              <w:t>St.,</w:t>
            </w:r>
            <w:r>
              <w:rPr>
                <w:rFonts w:ascii="Trebuchet MS"/>
                <w:color w:val="808080"/>
                <w:spacing w:val="-2"/>
                <w:sz w:val="16"/>
                <w:vertAlign w:val="baseline"/>
              </w:rPr>
              <w:t> </w:t>
            </w:r>
            <w:r>
              <w:rPr>
                <w:rFonts w:ascii="Trebuchet MS"/>
                <w:color w:val="808080"/>
                <w:sz w:val="16"/>
                <w:vertAlign w:val="baseline"/>
              </w:rPr>
              <w:t>Suite</w:t>
            </w:r>
            <w:r>
              <w:rPr>
                <w:rFonts w:ascii="Trebuchet MS"/>
                <w:color w:val="808080"/>
                <w:spacing w:val="-4"/>
                <w:sz w:val="16"/>
                <w:vertAlign w:val="baseline"/>
              </w:rPr>
              <w:t> </w:t>
            </w:r>
            <w:r>
              <w:rPr>
                <w:rFonts w:ascii="Trebuchet MS"/>
                <w:color w:val="808080"/>
                <w:spacing w:val="-10"/>
                <w:sz w:val="16"/>
                <w:vertAlign w:val="baseline"/>
              </w:rPr>
              <w:t>A</w:t>
            </w:r>
          </w:p>
        </w:tc>
        <w:tc>
          <w:tcPr>
            <w:tcW w:w="2540" w:type="dxa"/>
          </w:tcPr>
          <w:p>
            <w:pPr>
              <w:pStyle w:val="TableParagraph"/>
              <w:spacing w:line="181" w:lineRule="exact" w:before="17"/>
              <w:ind w:left="273"/>
              <w:rPr>
                <w:rFonts w:ascii="Trebuchet MS"/>
                <w:sz w:val="16"/>
              </w:rPr>
            </w:pPr>
            <w:r>
              <w:rPr>
                <w:rFonts w:ascii="Trebuchet MS"/>
                <w:color w:val="808080"/>
                <w:sz w:val="16"/>
              </w:rPr>
              <w:t>448</w:t>
            </w:r>
            <w:r>
              <w:rPr>
                <w:rFonts w:ascii="Trebuchet MS"/>
                <w:color w:val="808080"/>
                <w:spacing w:val="-5"/>
                <w:sz w:val="16"/>
              </w:rPr>
              <w:t> </w:t>
            </w:r>
            <w:r>
              <w:rPr>
                <w:rFonts w:ascii="Trebuchet MS"/>
                <w:color w:val="808080"/>
                <w:sz w:val="16"/>
              </w:rPr>
              <w:t>South</w:t>
            </w:r>
            <w:r>
              <w:rPr>
                <w:rFonts w:ascii="Trebuchet MS"/>
                <w:color w:val="808080"/>
                <w:spacing w:val="-4"/>
                <w:sz w:val="16"/>
              </w:rPr>
              <w:t> </w:t>
            </w:r>
            <w:r>
              <w:rPr>
                <w:rFonts w:ascii="Trebuchet MS"/>
                <w:color w:val="808080"/>
                <w:sz w:val="16"/>
              </w:rPr>
              <w:t>Hill</w:t>
            </w:r>
            <w:r>
              <w:rPr>
                <w:rFonts w:ascii="Trebuchet MS"/>
                <w:color w:val="808080"/>
                <w:spacing w:val="-4"/>
                <w:sz w:val="16"/>
              </w:rPr>
              <w:t> </w:t>
            </w:r>
            <w:r>
              <w:rPr>
                <w:rFonts w:ascii="Trebuchet MS"/>
                <w:color w:val="808080"/>
                <w:sz w:val="16"/>
              </w:rPr>
              <w:t>St.,</w:t>
            </w:r>
            <w:r>
              <w:rPr>
                <w:rFonts w:ascii="Trebuchet MS"/>
                <w:color w:val="808080"/>
                <w:spacing w:val="-4"/>
                <w:sz w:val="16"/>
              </w:rPr>
              <w:t> </w:t>
            </w:r>
            <w:r>
              <w:rPr>
                <w:rFonts w:ascii="Trebuchet MS"/>
                <w:color w:val="808080"/>
                <w:sz w:val="16"/>
              </w:rPr>
              <w:t>Suite</w:t>
            </w:r>
            <w:r>
              <w:rPr>
                <w:rFonts w:ascii="Trebuchet MS"/>
                <w:color w:val="808080"/>
                <w:spacing w:val="-2"/>
                <w:sz w:val="16"/>
              </w:rPr>
              <w:t> </w:t>
            </w:r>
            <w:r>
              <w:rPr>
                <w:rFonts w:ascii="Trebuchet MS"/>
                <w:color w:val="808080"/>
                <w:spacing w:val="-5"/>
                <w:sz w:val="16"/>
              </w:rPr>
              <w:t>701</w:t>
            </w:r>
          </w:p>
        </w:tc>
        <w:tc>
          <w:tcPr>
            <w:tcW w:w="2260" w:type="dxa"/>
          </w:tcPr>
          <w:p>
            <w:pPr>
              <w:pStyle w:val="TableParagraph"/>
              <w:spacing w:line="181" w:lineRule="exact" w:before="17"/>
              <w:ind w:left="251"/>
              <w:rPr>
                <w:rFonts w:ascii="Trebuchet MS"/>
                <w:sz w:val="16"/>
              </w:rPr>
            </w:pPr>
            <w:r>
              <w:rPr>
                <w:rFonts w:ascii="Trebuchet MS"/>
                <w:color w:val="808080"/>
                <w:sz w:val="16"/>
              </w:rPr>
              <w:t>1140</w:t>
            </w:r>
            <w:r>
              <w:rPr>
                <w:rFonts w:ascii="Trebuchet MS"/>
                <w:color w:val="808080"/>
                <w:spacing w:val="-3"/>
                <w:sz w:val="16"/>
              </w:rPr>
              <w:t> </w:t>
            </w:r>
            <w:r>
              <w:rPr>
                <w:rFonts w:ascii="Trebuchet MS"/>
                <w:color w:val="808080"/>
                <w:sz w:val="16"/>
              </w:rPr>
              <w:t>3</w:t>
            </w:r>
            <w:r>
              <w:rPr>
                <w:rFonts w:ascii="Trebuchet MS"/>
                <w:color w:val="808080"/>
                <w:sz w:val="16"/>
                <w:vertAlign w:val="superscript"/>
              </w:rPr>
              <w:t>rd</w:t>
            </w:r>
            <w:r>
              <w:rPr>
                <w:rFonts w:ascii="Trebuchet MS"/>
                <w:color w:val="808080"/>
                <w:spacing w:val="-3"/>
                <w:sz w:val="16"/>
                <w:vertAlign w:val="baseline"/>
              </w:rPr>
              <w:t> </w:t>
            </w:r>
            <w:r>
              <w:rPr>
                <w:rFonts w:ascii="Trebuchet MS"/>
                <w:color w:val="808080"/>
                <w:sz w:val="16"/>
                <w:vertAlign w:val="baseline"/>
              </w:rPr>
              <w:t>St.</w:t>
            </w:r>
            <w:r>
              <w:rPr>
                <w:rFonts w:ascii="Trebuchet MS"/>
                <w:color w:val="808080"/>
                <w:spacing w:val="-2"/>
                <w:sz w:val="16"/>
                <w:vertAlign w:val="baseline"/>
              </w:rPr>
              <w:t> </w:t>
            </w:r>
            <w:r>
              <w:rPr>
                <w:rFonts w:ascii="Trebuchet MS"/>
                <w:color w:val="808080"/>
                <w:sz w:val="16"/>
                <w:vertAlign w:val="baseline"/>
              </w:rPr>
              <w:t>NE,</w:t>
            </w:r>
            <w:r>
              <w:rPr>
                <w:rFonts w:ascii="Trebuchet MS"/>
                <w:color w:val="808080"/>
                <w:spacing w:val="-1"/>
                <w:sz w:val="16"/>
                <w:vertAlign w:val="baseline"/>
              </w:rPr>
              <w:t> </w:t>
            </w:r>
            <w:r>
              <w:rPr>
                <w:rFonts w:ascii="Trebuchet MS"/>
                <w:color w:val="808080"/>
                <w:sz w:val="16"/>
                <w:vertAlign w:val="baseline"/>
              </w:rPr>
              <w:t>2</w:t>
            </w:r>
            <w:r>
              <w:rPr>
                <w:rFonts w:ascii="Trebuchet MS"/>
                <w:color w:val="808080"/>
                <w:sz w:val="16"/>
                <w:vertAlign w:val="superscript"/>
              </w:rPr>
              <w:t>nd</w:t>
            </w:r>
            <w:r>
              <w:rPr>
                <w:rFonts w:ascii="Trebuchet MS"/>
                <w:color w:val="808080"/>
                <w:spacing w:val="-3"/>
                <w:sz w:val="16"/>
                <w:vertAlign w:val="baseline"/>
              </w:rPr>
              <w:t> </w:t>
            </w:r>
            <w:r>
              <w:rPr>
                <w:rFonts w:ascii="Trebuchet MS"/>
                <w:color w:val="808080"/>
                <w:spacing w:val="-4"/>
                <w:sz w:val="16"/>
                <w:vertAlign w:val="baseline"/>
              </w:rPr>
              <w:t>Floor</w:t>
            </w:r>
          </w:p>
        </w:tc>
        <w:tc>
          <w:tcPr>
            <w:tcW w:w="1742" w:type="dxa"/>
          </w:tcPr>
          <w:p>
            <w:pPr>
              <w:pStyle w:val="TableParagraph"/>
              <w:spacing w:line="181" w:lineRule="exact" w:before="17"/>
              <w:ind w:left="241"/>
              <w:rPr>
                <w:rFonts w:ascii="Trebuchet MS"/>
                <w:sz w:val="16"/>
              </w:rPr>
            </w:pPr>
            <w:r>
              <w:rPr>
                <w:rFonts w:ascii="Trebuchet MS"/>
                <w:color w:val="808080"/>
                <w:sz w:val="16"/>
              </w:rPr>
              <w:t>234</w:t>
            </w:r>
            <w:r>
              <w:rPr>
                <w:rFonts w:ascii="Trebuchet MS"/>
                <w:color w:val="808080"/>
                <w:spacing w:val="-3"/>
                <w:sz w:val="16"/>
              </w:rPr>
              <w:t> </w:t>
            </w:r>
            <w:r>
              <w:rPr>
                <w:rFonts w:ascii="Trebuchet MS"/>
                <w:color w:val="808080"/>
                <w:sz w:val="16"/>
              </w:rPr>
              <w:t>5</w:t>
            </w:r>
            <w:r>
              <w:rPr>
                <w:rFonts w:ascii="Trebuchet MS"/>
                <w:color w:val="808080"/>
                <w:sz w:val="16"/>
                <w:vertAlign w:val="superscript"/>
              </w:rPr>
              <w:t>th</w:t>
            </w:r>
            <w:r>
              <w:rPr>
                <w:rFonts w:ascii="Trebuchet MS"/>
                <w:color w:val="808080"/>
                <w:spacing w:val="-2"/>
                <w:sz w:val="16"/>
                <w:vertAlign w:val="baseline"/>
              </w:rPr>
              <w:t> </w:t>
            </w:r>
            <w:r>
              <w:rPr>
                <w:rFonts w:ascii="Trebuchet MS"/>
                <w:color w:val="808080"/>
                <w:spacing w:val="-4"/>
                <w:sz w:val="16"/>
                <w:vertAlign w:val="baseline"/>
              </w:rPr>
              <w:t>Ave.</w:t>
            </w:r>
          </w:p>
        </w:tc>
      </w:tr>
      <w:tr>
        <w:trPr>
          <w:trHeight w:val="215" w:hRule="atLeast"/>
        </w:trPr>
        <w:tc>
          <w:tcPr>
            <w:tcW w:w="1890" w:type="dxa"/>
          </w:tcPr>
          <w:p>
            <w:pPr>
              <w:pStyle w:val="TableParagraph"/>
              <w:spacing w:line="181" w:lineRule="exact" w:before="15"/>
              <w:ind w:left="50"/>
              <w:rPr>
                <w:rFonts w:ascii="Trebuchet MS"/>
                <w:sz w:val="16"/>
              </w:rPr>
            </w:pPr>
            <w:r>
              <w:rPr>
                <w:rFonts w:ascii="Trebuchet MS"/>
                <w:color w:val="808080"/>
                <w:sz w:val="16"/>
              </w:rPr>
              <w:t>Berkeley,</w:t>
            </w:r>
            <w:r>
              <w:rPr>
                <w:rFonts w:ascii="Trebuchet MS"/>
                <w:color w:val="808080"/>
                <w:spacing w:val="-4"/>
                <w:sz w:val="16"/>
              </w:rPr>
              <w:t> </w:t>
            </w:r>
            <w:r>
              <w:rPr>
                <w:rFonts w:ascii="Trebuchet MS"/>
                <w:color w:val="7E7E7E"/>
                <w:sz w:val="16"/>
              </w:rPr>
              <w:t>CA</w:t>
            </w:r>
            <w:r>
              <w:rPr>
                <w:rFonts w:ascii="Trebuchet MS"/>
                <w:color w:val="7E7E7E"/>
                <w:spacing w:val="-4"/>
                <w:sz w:val="16"/>
              </w:rPr>
              <w:t> </w:t>
            </w:r>
            <w:r>
              <w:rPr>
                <w:rFonts w:ascii="Trebuchet MS"/>
                <w:color w:val="808080"/>
                <w:spacing w:val="-2"/>
                <w:sz w:val="16"/>
              </w:rPr>
              <w:t>94710</w:t>
            </w:r>
          </w:p>
        </w:tc>
        <w:tc>
          <w:tcPr>
            <w:tcW w:w="1888" w:type="dxa"/>
          </w:tcPr>
          <w:p>
            <w:pPr>
              <w:pStyle w:val="TableParagraph"/>
              <w:spacing w:line="181" w:lineRule="exact" w:before="15"/>
              <w:ind w:left="260"/>
              <w:rPr>
                <w:rFonts w:ascii="Trebuchet MS"/>
                <w:sz w:val="16"/>
              </w:rPr>
            </w:pPr>
            <w:r>
              <w:rPr>
                <w:rFonts w:ascii="Trebuchet MS"/>
                <w:color w:val="808080"/>
                <w:sz w:val="16"/>
              </w:rPr>
              <w:t>Davis,</w:t>
            </w:r>
            <w:r>
              <w:rPr>
                <w:rFonts w:ascii="Trebuchet MS"/>
                <w:color w:val="808080"/>
                <w:spacing w:val="-4"/>
                <w:sz w:val="16"/>
              </w:rPr>
              <w:t> </w:t>
            </w:r>
            <w:r>
              <w:rPr>
                <w:rFonts w:ascii="Trebuchet MS"/>
                <w:color w:val="808080"/>
                <w:sz w:val="16"/>
              </w:rPr>
              <w:t>CA</w:t>
            </w:r>
            <w:r>
              <w:rPr>
                <w:rFonts w:ascii="Trebuchet MS"/>
                <w:color w:val="808080"/>
                <w:spacing w:val="-3"/>
                <w:sz w:val="16"/>
              </w:rPr>
              <w:t> </w:t>
            </w:r>
            <w:r>
              <w:rPr>
                <w:rFonts w:ascii="Trebuchet MS"/>
                <w:color w:val="808080"/>
                <w:spacing w:val="-2"/>
                <w:sz w:val="16"/>
              </w:rPr>
              <w:t>95616</w:t>
            </w:r>
          </w:p>
        </w:tc>
        <w:tc>
          <w:tcPr>
            <w:tcW w:w="2540" w:type="dxa"/>
          </w:tcPr>
          <w:p>
            <w:pPr>
              <w:pStyle w:val="TableParagraph"/>
              <w:spacing w:line="181" w:lineRule="exact" w:before="15"/>
              <w:ind w:left="273"/>
              <w:rPr>
                <w:rFonts w:ascii="Trebuchet MS"/>
                <w:sz w:val="16"/>
              </w:rPr>
            </w:pPr>
            <w:r>
              <w:rPr>
                <w:rFonts w:ascii="Trebuchet MS"/>
                <w:color w:val="808080"/>
                <w:sz w:val="16"/>
              </w:rPr>
              <w:t>Los</w:t>
            </w:r>
            <w:r>
              <w:rPr>
                <w:rFonts w:ascii="Trebuchet MS"/>
                <w:color w:val="808080"/>
                <w:spacing w:val="-4"/>
                <w:sz w:val="16"/>
              </w:rPr>
              <w:t> </w:t>
            </w:r>
            <w:r>
              <w:rPr>
                <w:rFonts w:ascii="Trebuchet MS"/>
                <w:color w:val="808080"/>
                <w:sz w:val="16"/>
              </w:rPr>
              <w:t>Angeles,</w:t>
            </w:r>
            <w:r>
              <w:rPr>
                <w:rFonts w:ascii="Trebuchet MS"/>
                <w:color w:val="808080"/>
                <w:spacing w:val="-3"/>
                <w:sz w:val="16"/>
              </w:rPr>
              <w:t> </w:t>
            </w:r>
            <w:r>
              <w:rPr>
                <w:rFonts w:ascii="Trebuchet MS"/>
                <w:color w:val="808080"/>
                <w:sz w:val="16"/>
              </w:rPr>
              <w:t>CA</w:t>
            </w:r>
            <w:r>
              <w:rPr>
                <w:rFonts w:ascii="Trebuchet MS"/>
                <w:color w:val="808080"/>
                <w:spacing w:val="-2"/>
                <w:sz w:val="16"/>
              </w:rPr>
              <w:t> 90013</w:t>
            </w:r>
          </w:p>
        </w:tc>
        <w:tc>
          <w:tcPr>
            <w:tcW w:w="2260" w:type="dxa"/>
          </w:tcPr>
          <w:p>
            <w:pPr>
              <w:pStyle w:val="TableParagraph"/>
              <w:spacing w:line="181" w:lineRule="exact" w:before="15"/>
              <w:ind w:left="251"/>
              <w:rPr>
                <w:rFonts w:ascii="Trebuchet MS"/>
                <w:sz w:val="16"/>
              </w:rPr>
            </w:pPr>
            <w:r>
              <w:rPr>
                <w:rFonts w:ascii="Trebuchet MS"/>
                <w:color w:val="808080"/>
                <w:sz w:val="16"/>
              </w:rPr>
              <w:t>Washington,</w:t>
            </w:r>
            <w:r>
              <w:rPr>
                <w:rFonts w:ascii="Trebuchet MS"/>
                <w:color w:val="808080"/>
                <w:spacing w:val="-7"/>
                <w:sz w:val="16"/>
              </w:rPr>
              <w:t> </w:t>
            </w:r>
            <w:r>
              <w:rPr>
                <w:rFonts w:ascii="Trebuchet MS"/>
                <w:color w:val="808080"/>
                <w:sz w:val="16"/>
              </w:rPr>
              <w:t>DC</w:t>
            </w:r>
            <w:r>
              <w:rPr>
                <w:rFonts w:ascii="Trebuchet MS"/>
                <w:color w:val="808080"/>
                <w:spacing w:val="-6"/>
                <w:sz w:val="16"/>
              </w:rPr>
              <w:t> </w:t>
            </w:r>
            <w:r>
              <w:rPr>
                <w:rFonts w:ascii="Trebuchet MS"/>
                <w:color w:val="808080"/>
                <w:spacing w:val="-2"/>
                <w:sz w:val="16"/>
              </w:rPr>
              <w:t>20002</w:t>
            </w:r>
          </w:p>
        </w:tc>
        <w:tc>
          <w:tcPr>
            <w:tcW w:w="1742" w:type="dxa"/>
          </w:tcPr>
          <w:p>
            <w:pPr>
              <w:pStyle w:val="TableParagraph"/>
              <w:spacing w:line="181" w:lineRule="exact" w:before="15"/>
              <w:ind w:left="241"/>
              <w:rPr>
                <w:rFonts w:ascii="Trebuchet MS"/>
                <w:sz w:val="16"/>
              </w:rPr>
            </w:pPr>
            <w:r>
              <w:rPr>
                <w:rFonts w:ascii="Trebuchet MS"/>
                <w:color w:val="808080"/>
                <w:sz w:val="16"/>
              </w:rPr>
              <w:t>New</w:t>
            </w:r>
            <w:r>
              <w:rPr>
                <w:rFonts w:ascii="Trebuchet MS"/>
                <w:color w:val="808080"/>
                <w:spacing w:val="-3"/>
                <w:sz w:val="16"/>
              </w:rPr>
              <w:t> </w:t>
            </w:r>
            <w:r>
              <w:rPr>
                <w:rFonts w:ascii="Trebuchet MS"/>
                <w:color w:val="808080"/>
                <w:sz w:val="16"/>
              </w:rPr>
              <w:t>York,</w:t>
            </w:r>
            <w:r>
              <w:rPr>
                <w:rFonts w:ascii="Trebuchet MS"/>
                <w:color w:val="808080"/>
                <w:spacing w:val="-3"/>
                <w:sz w:val="16"/>
              </w:rPr>
              <w:t> </w:t>
            </w:r>
            <w:r>
              <w:rPr>
                <w:rFonts w:ascii="Trebuchet MS"/>
                <w:color w:val="808080"/>
                <w:sz w:val="16"/>
              </w:rPr>
              <w:t>NY</w:t>
            </w:r>
            <w:r>
              <w:rPr>
                <w:rFonts w:ascii="Trebuchet MS"/>
                <w:color w:val="808080"/>
                <w:spacing w:val="-3"/>
                <w:sz w:val="16"/>
              </w:rPr>
              <w:t> </w:t>
            </w:r>
            <w:r>
              <w:rPr>
                <w:rFonts w:ascii="Trebuchet MS"/>
                <w:color w:val="808080"/>
                <w:spacing w:val="-2"/>
                <w:sz w:val="16"/>
              </w:rPr>
              <w:t>10001</w:t>
            </w:r>
          </w:p>
        </w:tc>
      </w:tr>
      <w:tr>
        <w:trPr>
          <w:trHeight w:val="201" w:hRule="atLeast"/>
        </w:trPr>
        <w:tc>
          <w:tcPr>
            <w:tcW w:w="1890" w:type="dxa"/>
          </w:tcPr>
          <w:p>
            <w:pPr>
              <w:pStyle w:val="TableParagraph"/>
              <w:spacing w:line="166" w:lineRule="exact" w:before="15"/>
              <w:ind w:left="50"/>
              <w:rPr>
                <w:rFonts w:ascii="Trebuchet MS"/>
                <w:sz w:val="16"/>
              </w:rPr>
            </w:pPr>
            <w:r>
              <w:rPr>
                <w:rFonts w:ascii="Trebuchet MS"/>
                <w:color w:val="808080"/>
                <w:spacing w:val="-2"/>
                <w:sz w:val="16"/>
              </w:rPr>
              <w:t>510.547.9380</w:t>
            </w:r>
          </w:p>
        </w:tc>
        <w:tc>
          <w:tcPr>
            <w:tcW w:w="1888" w:type="dxa"/>
          </w:tcPr>
          <w:p>
            <w:pPr>
              <w:pStyle w:val="TableParagraph"/>
              <w:spacing w:line="166" w:lineRule="exact" w:before="15"/>
              <w:ind w:left="260"/>
              <w:rPr>
                <w:rFonts w:ascii="Trebuchet MS"/>
                <w:sz w:val="16"/>
              </w:rPr>
            </w:pPr>
            <w:r>
              <w:rPr>
                <w:rFonts w:ascii="Trebuchet MS"/>
                <w:color w:val="808080"/>
                <w:spacing w:val="-2"/>
                <w:sz w:val="16"/>
              </w:rPr>
              <w:t>530.750.2195</w:t>
            </w:r>
          </w:p>
        </w:tc>
        <w:tc>
          <w:tcPr>
            <w:tcW w:w="2540" w:type="dxa"/>
          </w:tcPr>
          <w:p>
            <w:pPr>
              <w:pStyle w:val="TableParagraph"/>
              <w:spacing w:line="166" w:lineRule="exact" w:before="15"/>
              <w:ind w:left="273"/>
              <w:rPr>
                <w:rFonts w:ascii="Trebuchet MS"/>
                <w:sz w:val="16"/>
              </w:rPr>
            </w:pPr>
            <w:r>
              <w:rPr>
                <w:rFonts w:ascii="Trebuchet MS"/>
                <w:color w:val="808080"/>
                <w:spacing w:val="-2"/>
                <w:sz w:val="16"/>
              </w:rPr>
              <w:t>213.471.2666</w:t>
            </w:r>
          </w:p>
        </w:tc>
        <w:tc>
          <w:tcPr>
            <w:tcW w:w="2260" w:type="dxa"/>
          </w:tcPr>
          <w:p>
            <w:pPr>
              <w:pStyle w:val="TableParagraph"/>
              <w:spacing w:line="166" w:lineRule="exact" w:before="15"/>
              <w:ind w:left="251"/>
              <w:rPr>
                <w:rFonts w:ascii="Trebuchet MS"/>
                <w:sz w:val="16"/>
              </w:rPr>
            </w:pPr>
            <w:r>
              <w:rPr>
                <w:rFonts w:ascii="Trebuchet MS"/>
                <w:color w:val="808080"/>
                <w:spacing w:val="-2"/>
                <w:sz w:val="16"/>
              </w:rPr>
              <w:t>202.588.8945</w:t>
            </w:r>
          </w:p>
        </w:tc>
        <w:tc>
          <w:tcPr>
            <w:tcW w:w="1742" w:type="dxa"/>
          </w:tcPr>
          <w:p>
            <w:pPr>
              <w:pStyle w:val="TableParagraph"/>
              <w:spacing w:line="166" w:lineRule="exact" w:before="15"/>
              <w:ind w:left="241"/>
              <w:rPr>
                <w:rFonts w:ascii="Trebuchet MS"/>
                <w:sz w:val="16"/>
              </w:rPr>
            </w:pPr>
            <w:r>
              <w:rPr>
                <w:rFonts w:ascii="Trebuchet MS"/>
                <w:color w:val="808080"/>
                <w:spacing w:val="-2"/>
                <w:sz w:val="16"/>
              </w:rPr>
              <w:t>212.683.4486</w:t>
            </w:r>
          </w:p>
        </w:tc>
      </w:tr>
    </w:tbl>
    <w:p>
      <w:pPr>
        <w:spacing w:before="148"/>
        <w:ind w:left="1748" w:right="1748" w:firstLine="0"/>
        <w:jc w:val="center"/>
        <w:rPr>
          <w:rFonts w:ascii="Trebuchet MS"/>
          <w:sz w:val="16"/>
        </w:rPr>
      </w:pPr>
      <w:hyperlink r:id="rId6">
        <w:r>
          <w:rPr>
            <w:rFonts w:ascii="Trebuchet MS"/>
            <w:color w:val="92D050"/>
            <w:spacing w:val="-2"/>
            <w:sz w:val="16"/>
          </w:rPr>
          <w:t>www.bae1.com</w:t>
        </w:r>
      </w:hyperlink>
    </w:p>
    <w:p>
      <w:pPr>
        <w:spacing w:after="0"/>
        <w:jc w:val="center"/>
        <w:rPr>
          <w:rFonts w:ascii="Trebuchet MS"/>
          <w:sz w:val="16"/>
        </w:rPr>
        <w:sectPr>
          <w:type w:val="continuous"/>
          <w:pgSz w:w="12240" w:h="15840"/>
          <w:pgMar w:top="360" w:bottom="280" w:left="720" w:right="720"/>
        </w:sectPr>
      </w:pPr>
    </w:p>
    <w:p>
      <w:pPr>
        <w:pStyle w:val="BodyText"/>
        <w:spacing w:line="288" w:lineRule="auto" w:before="78"/>
        <w:ind w:left="1008" w:right="1001"/>
      </w:pPr>
      <w:r>
        <w:rPr/>
        <w:t>Of the 2021 survey’s 119 respondents, 11 reported leasing units at below market rents (i.e., requiring</w:t>
      </w:r>
      <w:r>
        <w:rPr>
          <w:spacing w:val="-1"/>
        </w:rPr>
        <w:t> </w:t>
      </w:r>
      <w:r>
        <w:rPr/>
        <w:t>an</w:t>
      </w:r>
      <w:r>
        <w:rPr>
          <w:spacing w:val="-1"/>
        </w:rPr>
        <w:t> </w:t>
      </w:r>
      <w:r>
        <w:rPr/>
        <w:t>income</w:t>
      </w:r>
      <w:r>
        <w:rPr>
          <w:spacing w:val="-1"/>
        </w:rPr>
        <w:t> </w:t>
      </w:r>
      <w:r>
        <w:rPr/>
        <w:t>eligibility</w:t>
      </w:r>
      <w:r>
        <w:rPr>
          <w:spacing w:val="-1"/>
        </w:rPr>
        <w:t> </w:t>
      </w:r>
      <w:r>
        <w:rPr/>
        <w:t>test</w:t>
      </w:r>
      <w:r>
        <w:rPr>
          <w:spacing w:val="-2"/>
        </w:rPr>
        <w:t> </w:t>
      </w:r>
      <w:r>
        <w:rPr/>
        <w:t>to</w:t>
      </w:r>
      <w:r>
        <w:rPr>
          <w:spacing w:val="-1"/>
        </w:rPr>
        <w:t> </w:t>
      </w:r>
      <w:r>
        <w:rPr/>
        <w:t>qualify</w:t>
      </w:r>
      <w:r>
        <w:rPr>
          <w:spacing w:val="-1"/>
        </w:rPr>
        <w:t> </w:t>
      </w:r>
      <w:r>
        <w:rPr/>
        <w:t>prospective</w:t>
      </w:r>
      <w:r>
        <w:rPr>
          <w:spacing w:val="-1"/>
        </w:rPr>
        <w:t> </w:t>
      </w:r>
      <w:r>
        <w:rPr/>
        <w:t>tenants</w:t>
      </w:r>
      <w:r>
        <w:rPr>
          <w:spacing w:val="-1"/>
        </w:rPr>
        <w:t> </w:t>
      </w:r>
      <w:r>
        <w:rPr/>
        <w:t>for</w:t>
      </w:r>
      <w:r>
        <w:rPr>
          <w:spacing w:val="-1"/>
        </w:rPr>
        <w:t> </w:t>
      </w:r>
      <w:r>
        <w:rPr/>
        <w:t>reduced</w:t>
      </w:r>
      <w:r>
        <w:rPr>
          <w:spacing w:val="-1"/>
        </w:rPr>
        <w:t> </w:t>
      </w:r>
      <w:r>
        <w:rPr/>
        <w:t>or</w:t>
      </w:r>
      <w:r>
        <w:rPr>
          <w:spacing w:val="-4"/>
        </w:rPr>
        <w:t> </w:t>
      </w:r>
      <w:r>
        <w:rPr/>
        <w:t>subsidized rents).</w:t>
      </w:r>
      <w:r>
        <w:rPr>
          <w:spacing w:val="40"/>
        </w:rPr>
        <w:t> </w:t>
      </w:r>
      <w:r>
        <w:rPr/>
        <w:t>Three</w:t>
      </w:r>
      <w:r>
        <w:rPr>
          <w:spacing w:val="-1"/>
        </w:rPr>
        <w:t> </w:t>
      </w:r>
      <w:r>
        <w:rPr/>
        <w:t>of those respondents reported renting</w:t>
      </w:r>
      <w:r>
        <w:rPr>
          <w:spacing w:val="-2"/>
        </w:rPr>
        <w:t> </w:t>
      </w:r>
      <w:r>
        <w:rPr/>
        <w:t>all of the</w:t>
      </w:r>
      <w:r>
        <w:rPr>
          <w:spacing w:val="-1"/>
        </w:rPr>
        <w:t> </w:t>
      </w:r>
      <w:r>
        <w:rPr/>
        <w:t>units in the complex at below market</w:t>
      </w:r>
      <w:r>
        <w:rPr>
          <w:spacing w:val="-4"/>
        </w:rPr>
        <w:t> </w:t>
      </w:r>
      <w:r>
        <w:rPr/>
        <w:t>rates,</w:t>
      </w:r>
      <w:r>
        <w:rPr>
          <w:spacing w:val="-3"/>
        </w:rPr>
        <w:t> </w:t>
      </w:r>
      <w:r>
        <w:rPr/>
        <w:t>while</w:t>
      </w:r>
      <w:r>
        <w:rPr>
          <w:spacing w:val="-3"/>
        </w:rPr>
        <w:t> </w:t>
      </w:r>
      <w:r>
        <w:rPr/>
        <w:t>the</w:t>
      </w:r>
      <w:r>
        <w:rPr>
          <w:spacing w:val="-3"/>
        </w:rPr>
        <w:t> </w:t>
      </w:r>
      <w:r>
        <w:rPr/>
        <w:t>remaining</w:t>
      </w:r>
      <w:r>
        <w:rPr>
          <w:spacing w:val="-4"/>
        </w:rPr>
        <w:t> </w:t>
      </w:r>
      <w:r>
        <w:rPr/>
        <w:t>ten</w:t>
      </w:r>
      <w:r>
        <w:rPr>
          <w:spacing w:val="-3"/>
        </w:rPr>
        <w:t> </w:t>
      </w:r>
      <w:r>
        <w:rPr/>
        <w:t>complexes</w:t>
      </w:r>
      <w:r>
        <w:rPr>
          <w:spacing w:val="-3"/>
        </w:rPr>
        <w:t> </w:t>
      </w:r>
      <w:r>
        <w:rPr/>
        <w:t>rent</w:t>
      </w:r>
      <w:r>
        <w:rPr>
          <w:spacing w:val="-3"/>
        </w:rPr>
        <w:t> </w:t>
      </w:r>
      <w:r>
        <w:rPr/>
        <w:t>some</w:t>
      </w:r>
      <w:r>
        <w:rPr>
          <w:spacing w:val="-3"/>
        </w:rPr>
        <w:t> </w:t>
      </w:r>
      <w:r>
        <w:rPr/>
        <w:t>units</w:t>
      </w:r>
      <w:r>
        <w:rPr>
          <w:spacing w:val="-3"/>
        </w:rPr>
        <w:t> </w:t>
      </w:r>
      <w:r>
        <w:rPr/>
        <w:t>at</w:t>
      </w:r>
      <w:r>
        <w:rPr>
          <w:spacing w:val="-4"/>
        </w:rPr>
        <w:t> </w:t>
      </w:r>
      <w:r>
        <w:rPr/>
        <w:t>below</w:t>
      </w:r>
      <w:r>
        <w:rPr>
          <w:spacing w:val="-3"/>
        </w:rPr>
        <w:t> </w:t>
      </w:r>
      <w:r>
        <w:rPr/>
        <w:t>market</w:t>
      </w:r>
      <w:r>
        <w:rPr>
          <w:spacing w:val="-4"/>
        </w:rPr>
        <w:t> </w:t>
      </w:r>
      <w:r>
        <w:rPr/>
        <w:t>rates</w:t>
      </w:r>
      <w:r>
        <w:rPr>
          <w:spacing w:val="-3"/>
        </w:rPr>
        <w:t> </w:t>
      </w:r>
      <w:r>
        <w:rPr/>
        <w:t>and some</w:t>
      </w:r>
      <w:r>
        <w:rPr>
          <w:spacing w:val="-4"/>
        </w:rPr>
        <w:t> </w:t>
      </w:r>
      <w:r>
        <w:rPr/>
        <w:t>units</w:t>
      </w:r>
      <w:r>
        <w:rPr>
          <w:spacing w:val="-4"/>
        </w:rPr>
        <w:t> </w:t>
      </w:r>
      <w:r>
        <w:rPr/>
        <w:t>at</w:t>
      </w:r>
      <w:r>
        <w:rPr>
          <w:spacing w:val="-5"/>
        </w:rPr>
        <w:t> </w:t>
      </w:r>
      <w:r>
        <w:rPr/>
        <w:t>market</w:t>
      </w:r>
      <w:r>
        <w:rPr>
          <w:spacing w:val="-5"/>
        </w:rPr>
        <w:t> </w:t>
      </w:r>
      <w:r>
        <w:rPr/>
        <w:t>rates.</w:t>
      </w:r>
      <w:r>
        <w:rPr>
          <w:spacing w:val="40"/>
        </w:rPr>
        <w:t> </w:t>
      </w:r>
      <w:r>
        <w:rPr/>
        <w:t>Of</w:t>
      </w:r>
      <w:r>
        <w:rPr>
          <w:spacing w:val="-4"/>
        </w:rPr>
        <w:t> </w:t>
      </w:r>
      <w:r>
        <w:rPr/>
        <w:t>the</w:t>
      </w:r>
      <w:r>
        <w:rPr>
          <w:spacing w:val="-4"/>
        </w:rPr>
        <w:t> </w:t>
      </w:r>
      <w:r>
        <w:rPr/>
        <w:t>11</w:t>
      </w:r>
      <w:r>
        <w:rPr>
          <w:spacing w:val="-4"/>
        </w:rPr>
        <w:t> </w:t>
      </w:r>
      <w:r>
        <w:rPr/>
        <w:t>complexes</w:t>
      </w:r>
      <w:r>
        <w:rPr>
          <w:spacing w:val="-4"/>
        </w:rPr>
        <w:t> </w:t>
      </w:r>
      <w:r>
        <w:rPr/>
        <w:t>that</w:t>
      </w:r>
      <w:r>
        <w:rPr>
          <w:spacing w:val="-5"/>
        </w:rPr>
        <w:t> </w:t>
      </w:r>
      <w:r>
        <w:rPr/>
        <w:t>reported</w:t>
      </w:r>
      <w:r>
        <w:rPr>
          <w:spacing w:val="-4"/>
        </w:rPr>
        <w:t> </w:t>
      </w:r>
      <w:r>
        <w:rPr/>
        <w:t>renting</w:t>
      </w:r>
      <w:r>
        <w:rPr>
          <w:spacing w:val="-4"/>
        </w:rPr>
        <w:t> </w:t>
      </w:r>
      <w:r>
        <w:rPr/>
        <w:t>units</w:t>
      </w:r>
      <w:r>
        <w:rPr>
          <w:spacing w:val="-4"/>
        </w:rPr>
        <w:t> </w:t>
      </w:r>
      <w:r>
        <w:rPr/>
        <w:t>at</w:t>
      </w:r>
      <w:r>
        <w:rPr>
          <w:spacing w:val="-5"/>
        </w:rPr>
        <w:t> </w:t>
      </w:r>
      <w:r>
        <w:rPr/>
        <w:t>below</w:t>
      </w:r>
      <w:r>
        <w:rPr>
          <w:spacing w:val="-4"/>
        </w:rPr>
        <w:t> </w:t>
      </w:r>
      <w:r>
        <w:rPr/>
        <w:t>market rates,</w:t>
      </w:r>
      <w:r>
        <w:rPr>
          <w:spacing w:val="-11"/>
        </w:rPr>
        <w:t> </w:t>
      </w:r>
      <w:r>
        <w:rPr/>
        <w:t>six</w:t>
      </w:r>
      <w:r>
        <w:rPr>
          <w:spacing w:val="-9"/>
        </w:rPr>
        <w:t> </w:t>
      </w:r>
      <w:r>
        <w:rPr/>
        <w:t>reported</w:t>
      </w:r>
      <w:r>
        <w:rPr>
          <w:spacing w:val="-9"/>
        </w:rPr>
        <w:t> </w:t>
      </w:r>
      <w:r>
        <w:rPr/>
        <w:t>the</w:t>
      </w:r>
      <w:r>
        <w:rPr>
          <w:spacing w:val="-9"/>
        </w:rPr>
        <w:t> </w:t>
      </w:r>
      <w:r>
        <w:rPr/>
        <w:t>income</w:t>
      </w:r>
      <w:r>
        <w:rPr>
          <w:spacing w:val="-9"/>
        </w:rPr>
        <w:t> </w:t>
      </w:r>
      <w:r>
        <w:rPr/>
        <w:t>eligibility</w:t>
      </w:r>
      <w:r>
        <w:rPr>
          <w:spacing w:val="-8"/>
        </w:rPr>
        <w:t> </w:t>
      </w:r>
      <w:r>
        <w:rPr/>
        <w:t>standards</w:t>
      </w:r>
      <w:r>
        <w:rPr>
          <w:spacing w:val="-9"/>
        </w:rPr>
        <w:t> </w:t>
      </w:r>
      <w:r>
        <w:rPr/>
        <w:t>that</w:t>
      </w:r>
      <w:r>
        <w:rPr>
          <w:spacing w:val="-10"/>
        </w:rPr>
        <w:t> </w:t>
      </w:r>
      <w:r>
        <w:rPr/>
        <w:t>they</w:t>
      </w:r>
      <w:r>
        <w:rPr>
          <w:spacing w:val="-11"/>
        </w:rPr>
        <w:t> </w:t>
      </w:r>
      <w:r>
        <w:rPr/>
        <w:t>use</w:t>
      </w:r>
      <w:r>
        <w:rPr>
          <w:spacing w:val="-9"/>
        </w:rPr>
        <w:t> </w:t>
      </w:r>
      <w:r>
        <w:rPr/>
        <w:t>to</w:t>
      </w:r>
      <w:r>
        <w:rPr>
          <w:spacing w:val="-9"/>
        </w:rPr>
        <w:t> </w:t>
      </w:r>
      <w:r>
        <w:rPr/>
        <w:t>screen</w:t>
      </w:r>
      <w:r>
        <w:rPr>
          <w:spacing w:val="-11"/>
        </w:rPr>
        <w:t> </w:t>
      </w:r>
      <w:r>
        <w:rPr/>
        <w:t>prospective</w:t>
      </w:r>
      <w:r>
        <w:rPr>
          <w:spacing w:val="-9"/>
        </w:rPr>
        <w:t> </w:t>
      </w:r>
      <w:r>
        <w:rPr/>
        <w:t>tenants. The</w:t>
      </w:r>
      <w:r>
        <w:rPr>
          <w:spacing w:val="-1"/>
        </w:rPr>
        <w:t> </w:t>
      </w:r>
      <w:r>
        <w:rPr/>
        <w:t>2021</w:t>
      </w:r>
      <w:r>
        <w:rPr>
          <w:spacing w:val="-2"/>
        </w:rPr>
        <w:t> </w:t>
      </w:r>
      <w:r>
        <w:rPr/>
        <w:t>survey results</w:t>
      </w:r>
      <w:r>
        <w:rPr>
          <w:spacing w:val="-1"/>
        </w:rPr>
        <w:t> </w:t>
      </w:r>
      <w:r>
        <w:rPr/>
        <w:t>for complexes</w:t>
      </w:r>
      <w:r>
        <w:rPr>
          <w:spacing w:val="-1"/>
        </w:rPr>
        <w:t> </w:t>
      </w:r>
      <w:r>
        <w:rPr/>
        <w:t>with below</w:t>
      </w:r>
      <w:r>
        <w:rPr>
          <w:spacing w:val="-4"/>
        </w:rPr>
        <w:t> </w:t>
      </w:r>
      <w:r>
        <w:rPr/>
        <w:t>market rate units</w:t>
      </w:r>
      <w:r>
        <w:rPr>
          <w:spacing w:val="-1"/>
        </w:rPr>
        <w:t> </w:t>
      </w:r>
      <w:r>
        <w:rPr/>
        <w:t>are generally consistent with</w:t>
      </w:r>
      <w:r>
        <w:rPr>
          <w:spacing w:val="-1"/>
        </w:rPr>
        <w:t> </w:t>
      </w:r>
      <w:r>
        <w:rPr/>
        <w:t>the</w:t>
      </w:r>
      <w:r>
        <w:rPr>
          <w:spacing w:val="-1"/>
        </w:rPr>
        <w:t> </w:t>
      </w:r>
      <w:r>
        <w:rPr/>
        <w:t>2020</w:t>
      </w:r>
      <w:r>
        <w:rPr>
          <w:spacing w:val="-1"/>
        </w:rPr>
        <w:t> </w:t>
      </w:r>
      <w:r>
        <w:rPr/>
        <w:t>results,</w:t>
      </w:r>
      <w:r>
        <w:rPr>
          <w:spacing w:val="-4"/>
        </w:rPr>
        <w:t> </w:t>
      </w:r>
      <w:r>
        <w:rPr/>
        <w:t>which found</w:t>
      </w:r>
      <w:r>
        <w:rPr>
          <w:spacing w:val="-1"/>
        </w:rPr>
        <w:t> </w:t>
      </w:r>
      <w:r>
        <w:rPr/>
        <w:t>that</w:t>
      </w:r>
      <w:r>
        <w:rPr>
          <w:spacing w:val="-2"/>
        </w:rPr>
        <w:t> </w:t>
      </w:r>
      <w:r>
        <w:rPr/>
        <w:t>the</w:t>
      </w:r>
      <w:r>
        <w:rPr>
          <w:spacing w:val="-3"/>
        </w:rPr>
        <w:t> </w:t>
      </w:r>
      <w:r>
        <w:rPr/>
        <w:t>majority</w:t>
      </w:r>
      <w:r>
        <w:rPr>
          <w:spacing w:val="-1"/>
        </w:rPr>
        <w:t> </w:t>
      </w:r>
      <w:r>
        <w:rPr/>
        <w:t>of below</w:t>
      </w:r>
      <w:r>
        <w:rPr>
          <w:spacing w:val="-4"/>
        </w:rPr>
        <w:t> </w:t>
      </w:r>
      <w:r>
        <w:rPr/>
        <w:t>market</w:t>
      </w:r>
      <w:r>
        <w:rPr>
          <w:spacing w:val="-1"/>
        </w:rPr>
        <w:t> </w:t>
      </w:r>
      <w:r>
        <w:rPr/>
        <w:t>rate</w:t>
      </w:r>
      <w:r>
        <w:rPr>
          <w:spacing w:val="-1"/>
        </w:rPr>
        <w:t> </w:t>
      </w:r>
      <w:r>
        <w:rPr/>
        <w:t>units</w:t>
      </w:r>
      <w:r>
        <w:rPr>
          <w:spacing w:val="-3"/>
        </w:rPr>
        <w:t> </w:t>
      </w:r>
      <w:r>
        <w:rPr/>
        <w:t>in</w:t>
      </w:r>
      <w:r>
        <w:rPr>
          <w:spacing w:val="-1"/>
        </w:rPr>
        <w:t> </w:t>
      </w:r>
      <w:r>
        <w:rPr/>
        <w:t>the community</w:t>
      </w:r>
      <w:r>
        <w:rPr>
          <w:spacing w:val="-13"/>
        </w:rPr>
        <w:t> </w:t>
      </w:r>
      <w:r>
        <w:rPr/>
        <w:t>were</w:t>
      </w:r>
      <w:r>
        <w:rPr>
          <w:spacing w:val="-12"/>
        </w:rPr>
        <w:t> </w:t>
      </w:r>
      <w:r>
        <w:rPr/>
        <w:t>rented</w:t>
      </w:r>
      <w:r>
        <w:rPr>
          <w:spacing w:val="-12"/>
        </w:rPr>
        <w:t> </w:t>
      </w:r>
      <w:r>
        <w:rPr/>
        <w:t>to</w:t>
      </w:r>
      <w:r>
        <w:rPr>
          <w:spacing w:val="-14"/>
        </w:rPr>
        <w:t> </w:t>
      </w:r>
      <w:r>
        <w:rPr/>
        <w:t>households</w:t>
      </w:r>
      <w:r>
        <w:rPr>
          <w:spacing w:val="-10"/>
        </w:rPr>
        <w:t> </w:t>
      </w:r>
      <w:r>
        <w:rPr/>
        <w:t>earning</w:t>
      </w:r>
      <w:r>
        <w:rPr>
          <w:spacing w:val="-12"/>
        </w:rPr>
        <w:t> </w:t>
      </w:r>
      <w:r>
        <w:rPr/>
        <w:t>between</w:t>
      </w:r>
      <w:r>
        <w:rPr>
          <w:spacing w:val="-11"/>
        </w:rPr>
        <w:t> </w:t>
      </w:r>
      <w:r>
        <w:rPr/>
        <w:t>50</w:t>
      </w:r>
      <w:r>
        <w:rPr>
          <w:spacing w:val="-14"/>
        </w:rPr>
        <w:t> </w:t>
      </w:r>
      <w:r>
        <w:rPr/>
        <w:t>and</w:t>
      </w:r>
      <w:r>
        <w:rPr>
          <w:spacing w:val="-11"/>
        </w:rPr>
        <w:t> </w:t>
      </w:r>
      <w:r>
        <w:rPr/>
        <w:t>80</w:t>
      </w:r>
      <w:r>
        <w:rPr>
          <w:spacing w:val="-12"/>
        </w:rPr>
        <w:t> </w:t>
      </w:r>
      <w:r>
        <w:rPr/>
        <w:t>percent</w:t>
      </w:r>
      <w:r>
        <w:rPr>
          <w:spacing w:val="-12"/>
        </w:rPr>
        <w:t> </w:t>
      </w:r>
      <w:r>
        <w:rPr/>
        <w:t>of</w:t>
      </w:r>
      <w:r>
        <w:rPr>
          <w:spacing w:val="-14"/>
        </w:rPr>
        <w:t> </w:t>
      </w:r>
      <w:r>
        <w:rPr/>
        <w:t>the</w:t>
      </w:r>
      <w:r>
        <w:rPr>
          <w:spacing w:val="-12"/>
        </w:rPr>
        <w:t> </w:t>
      </w:r>
      <w:r>
        <w:rPr/>
        <w:t>area</w:t>
      </w:r>
      <w:r>
        <w:rPr>
          <w:spacing w:val="-12"/>
        </w:rPr>
        <w:t> </w:t>
      </w:r>
      <w:r>
        <w:rPr/>
        <w:t>median income</w:t>
      </w:r>
      <w:r>
        <w:rPr>
          <w:spacing w:val="-1"/>
        </w:rPr>
        <w:t> </w:t>
      </w:r>
      <w:r>
        <w:rPr/>
        <w:t>(AMI).</w:t>
      </w:r>
      <w:r>
        <w:rPr>
          <w:spacing w:val="40"/>
        </w:rPr>
        <w:t> </w:t>
      </w:r>
      <w:r>
        <w:rPr/>
        <w:t>The</w:t>
      </w:r>
      <w:r>
        <w:rPr>
          <w:spacing w:val="-1"/>
        </w:rPr>
        <w:t> </w:t>
      </w:r>
      <w:r>
        <w:rPr/>
        <w:t>remainder</w:t>
      </w:r>
      <w:r>
        <w:rPr>
          <w:spacing w:val="-2"/>
        </w:rPr>
        <w:t> </w:t>
      </w:r>
      <w:r>
        <w:rPr/>
        <w:t>of</w:t>
      </w:r>
      <w:r>
        <w:rPr>
          <w:spacing w:val="-1"/>
        </w:rPr>
        <w:t> </w:t>
      </w:r>
      <w:r>
        <w:rPr/>
        <w:t>this</w:t>
      </w:r>
      <w:r>
        <w:rPr>
          <w:spacing w:val="-3"/>
        </w:rPr>
        <w:t> </w:t>
      </w:r>
      <w:r>
        <w:rPr/>
        <w:t>analysis</w:t>
      </w:r>
      <w:r>
        <w:rPr>
          <w:spacing w:val="-1"/>
        </w:rPr>
        <w:t> </w:t>
      </w:r>
      <w:r>
        <w:rPr/>
        <w:t>excludes</w:t>
      </w:r>
      <w:r>
        <w:rPr>
          <w:spacing w:val="-1"/>
        </w:rPr>
        <w:t> </w:t>
      </w:r>
      <w:r>
        <w:rPr/>
        <w:t>units</w:t>
      </w:r>
      <w:r>
        <w:rPr>
          <w:spacing w:val="-1"/>
        </w:rPr>
        <w:t> </w:t>
      </w:r>
      <w:r>
        <w:rPr/>
        <w:t>rented</w:t>
      </w:r>
      <w:r>
        <w:rPr>
          <w:spacing w:val="-3"/>
        </w:rPr>
        <w:t> </w:t>
      </w:r>
      <w:r>
        <w:rPr/>
        <w:t>at</w:t>
      </w:r>
      <w:r>
        <w:rPr>
          <w:spacing w:val="-2"/>
        </w:rPr>
        <w:t> </w:t>
      </w:r>
      <w:r>
        <w:rPr/>
        <w:t>below</w:t>
      </w:r>
      <w:r>
        <w:rPr>
          <w:spacing w:val="-4"/>
        </w:rPr>
        <w:t> </w:t>
      </w:r>
      <w:r>
        <w:rPr/>
        <w:t>market</w:t>
      </w:r>
      <w:r>
        <w:rPr>
          <w:spacing w:val="-2"/>
        </w:rPr>
        <w:t> </w:t>
      </w:r>
      <w:r>
        <w:rPr/>
        <w:t>rents,</w:t>
      </w:r>
      <w:r>
        <w:rPr>
          <w:spacing w:val="-1"/>
        </w:rPr>
        <w:t> </w:t>
      </w:r>
      <w:r>
        <w:rPr/>
        <w:t>as reported by respondents,</w:t>
      </w:r>
      <w:r>
        <w:rPr>
          <w:spacing w:val="-1"/>
        </w:rPr>
        <w:t> </w:t>
      </w:r>
      <w:r>
        <w:rPr/>
        <w:t>but does include units rented at</w:t>
      </w:r>
      <w:r>
        <w:rPr>
          <w:spacing w:val="-2"/>
        </w:rPr>
        <w:t> </w:t>
      </w:r>
      <w:r>
        <w:rPr/>
        <w:t>market rates in mixed-income </w:t>
      </w:r>
      <w:r>
        <w:rPr>
          <w:spacing w:val="-2"/>
        </w:rPr>
        <w:t>complexes.</w:t>
      </w:r>
    </w:p>
    <w:p>
      <w:pPr>
        <w:pStyle w:val="BodyText"/>
        <w:spacing w:before="60"/>
      </w:pPr>
    </w:p>
    <w:p>
      <w:pPr>
        <w:pStyle w:val="BodyText"/>
        <w:spacing w:line="288" w:lineRule="auto"/>
        <w:ind w:left="1008" w:right="1001"/>
      </w:pPr>
      <w:r>
        <w:rPr/>
        <w:t>While all</w:t>
      </w:r>
      <w:r>
        <w:rPr>
          <w:spacing w:val="-1"/>
        </w:rPr>
        <w:t> </w:t>
      </w:r>
      <w:r>
        <w:rPr/>
        <w:t>survey respondents reported the total unit numbers,</w:t>
      </w:r>
      <w:r>
        <w:rPr>
          <w:spacing w:val="-1"/>
        </w:rPr>
        <w:t> </w:t>
      </w:r>
      <w:r>
        <w:rPr/>
        <w:t>not</w:t>
      </w:r>
      <w:r>
        <w:rPr>
          <w:spacing w:val="-2"/>
        </w:rPr>
        <w:t> </w:t>
      </w:r>
      <w:r>
        <w:rPr/>
        <w:t>all respondents provided complete</w:t>
      </w:r>
      <w:r>
        <w:rPr>
          <w:spacing w:val="-10"/>
        </w:rPr>
        <w:t> </w:t>
      </w:r>
      <w:r>
        <w:rPr/>
        <w:t>information</w:t>
      </w:r>
      <w:r>
        <w:rPr>
          <w:spacing w:val="-10"/>
        </w:rPr>
        <w:t> </w:t>
      </w:r>
      <w:r>
        <w:rPr/>
        <w:t>regarding</w:t>
      </w:r>
      <w:r>
        <w:rPr>
          <w:spacing w:val="-10"/>
        </w:rPr>
        <w:t> </w:t>
      </w:r>
      <w:r>
        <w:rPr/>
        <w:t>other</w:t>
      </w:r>
      <w:r>
        <w:rPr>
          <w:spacing w:val="-11"/>
        </w:rPr>
        <w:t> </w:t>
      </w:r>
      <w:r>
        <w:rPr/>
        <w:t>unit</w:t>
      </w:r>
      <w:r>
        <w:rPr>
          <w:spacing w:val="-10"/>
        </w:rPr>
        <w:t> </w:t>
      </w:r>
      <w:r>
        <w:rPr/>
        <w:t>characteristics,</w:t>
      </w:r>
      <w:r>
        <w:rPr>
          <w:spacing w:val="-12"/>
        </w:rPr>
        <w:t> </w:t>
      </w:r>
      <w:r>
        <w:rPr/>
        <w:t>such</w:t>
      </w:r>
      <w:r>
        <w:rPr>
          <w:spacing w:val="-10"/>
        </w:rPr>
        <w:t> </w:t>
      </w:r>
      <w:r>
        <w:rPr/>
        <w:t>as</w:t>
      </w:r>
      <w:r>
        <w:rPr>
          <w:spacing w:val="-10"/>
        </w:rPr>
        <w:t> </w:t>
      </w:r>
      <w:r>
        <w:rPr/>
        <w:t>the</w:t>
      </w:r>
      <w:r>
        <w:rPr>
          <w:spacing w:val="-8"/>
        </w:rPr>
        <w:t> </w:t>
      </w:r>
      <w:r>
        <w:rPr/>
        <w:t>mix</w:t>
      </w:r>
      <w:r>
        <w:rPr>
          <w:spacing w:val="-12"/>
        </w:rPr>
        <w:t> </w:t>
      </w:r>
      <w:r>
        <w:rPr/>
        <w:t>of</w:t>
      </w:r>
      <w:r>
        <w:rPr>
          <w:spacing w:val="-12"/>
        </w:rPr>
        <w:t> </w:t>
      </w:r>
      <w:r>
        <w:rPr/>
        <w:t>units</w:t>
      </w:r>
      <w:r>
        <w:rPr>
          <w:spacing w:val="-10"/>
        </w:rPr>
        <w:t> </w:t>
      </w:r>
      <w:r>
        <w:rPr/>
        <w:t>by</w:t>
      </w:r>
      <w:r>
        <w:rPr>
          <w:spacing w:val="-10"/>
        </w:rPr>
        <w:t> </w:t>
      </w:r>
      <w:r>
        <w:rPr/>
        <w:t>size</w:t>
      </w:r>
      <w:r>
        <w:rPr>
          <w:spacing w:val="-12"/>
        </w:rPr>
        <w:t> </w:t>
      </w:r>
      <w:r>
        <w:rPr/>
        <w:t>or amenities</w:t>
      </w:r>
      <w:r>
        <w:rPr>
          <w:spacing w:val="-2"/>
        </w:rPr>
        <w:t> </w:t>
      </w:r>
      <w:r>
        <w:rPr/>
        <w:t>provided</w:t>
      </w:r>
      <w:r>
        <w:rPr>
          <w:spacing w:val="-4"/>
        </w:rPr>
        <w:t> </w:t>
      </w:r>
      <w:r>
        <w:rPr/>
        <w:t>on-site.</w:t>
      </w:r>
      <w:r>
        <w:rPr>
          <w:spacing w:val="40"/>
        </w:rPr>
        <w:t> </w:t>
      </w:r>
      <w:r>
        <w:rPr/>
        <w:t>Additionally,</w:t>
      </w:r>
      <w:r>
        <w:rPr>
          <w:spacing w:val="-2"/>
        </w:rPr>
        <w:t> </w:t>
      </w:r>
      <w:r>
        <w:rPr/>
        <w:t>the</w:t>
      </w:r>
      <w:r>
        <w:rPr>
          <w:spacing w:val="-2"/>
        </w:rPr>
        <w:t> </w:t>
      </w:r>
      <w:r>
        <w:rPr/>
        <w:t>sum</w:t>
      </w:r>
      <w:r>
        <w:rPr>
          <w:spacing w:val="-2"/>
        </w:rPr>
        <w:t> </w:t>
      </w:r>
      <w:r>
        <w:rPr/>
        <w:t>total</w:t>
      </w:r>
      <w:r>
        <w:rPr>
          <w:spacing w:val="-2"/>
        </w:rPr>
        <w:t> </w:t>
      </w:r>
      <w:r>
        <w:rPr/>
        <w:t>of</w:t>
      </w:r>
      <w:r>
        <w:rPr>
          <w:spacing w:val="-3"/>
        </w:rPr>
        <w:t> </w:t>
      </w:r>
      <w:r>
        <w:rPr/>
        <w:t>all</w:t>
      </w:r>
      <w:r>
        <w:rPr>
          <w:spacing w:val="-3"/>
        </w:rPr>
        <w:t> </w:t>
      </w:r>
      <w:r>
        <w:rPr/>
        <w:t>unit</w:t>
      </w:r>
      <w:r>
        <w:rPr>
          <w:spacing w:val="-2"/>
        </w:rPr>
        <w:t> </w:t>
      </w:r>
      <w:r>
        <w:rPr/>
        <w:t>sizes</w:t>
      </w:r>
      <w:r>
        <w:rPr>
          <w:spacing w:val="-2"/>
        </w:rPr>
        <w:t> </w:t>
      </w:r>
      <w:r>
        <w:rPr/>
        <w:t>may</w:t>
      </w:r>
      <w:r>
        <w:rPr>
          <w:spacing w:val="-2"/>
        </w:rPr>
        <w:t> </w:t>
      </w:r>
      <w:r>
        <w:rPr/>
        <w:t>not</w:t>
      </w:r>
      <w:r>
        <w:rPr>
          <w:spacing w:val="-2"/>
        </w:rPr>
        <w:t> </w:t>
      </w:r>
      <w:r>
        <w:rPr/>
        <w:t>equal</w:t>
      </w:r>
      <w:r>
        <w:rPr>
          <w:spacing w:val="-2"/>
        </w:rPr>
        <w:t> </w:t>
      </w:r>
      <w:r>
        <w:rPr/>
        <w:t>the reported total unit count</w:t>
      </w:r>
      <w:r>
        <w:rPr>
          <w:spacing w:val="-1"/>
        </w:rPr>
        <w:t> </w:t>
      </w:r>
      <w:r>
        <w:rPr/>
        <w:t>due to inconsistent reporting of managers’</w:t>
      </w:r>
      <w:r>
        <w:rPr>
          <w:spacing w:val="-2"/>
        </w:rPr>
        <w:t> </w:t>
      </w:r>
      <w:r>
        <w:rPr/>
        <w:t>units</w:t>
      </w:r>
      <w:r>
        <w:rPr>
          <w:spacing w:val="-1"/>
        </w:rPr>
        <w:t> </w:t>
      </w:r>
      <w:r>
        <w:rPr/>
        <w:t>and</w:t>
      </w:r>
      <w:r>
        <w:rPr>
          <w:spacing w:val="-1"/>
        </w:rPr>
        <w:t> </w:t>
      </w:r>
      <w:r>
        <w:rPr/>
        <w:t>other similar factors.</w:t>
      </w:r>
      <w:r>
        <w:rPr>
          <w:spacing w:val="38"/>
        </w:rPr>
        <w:t> </w:t>
      </w:r>
      <w:r>
        <w:rPr/>
        <w:t>As</w:t>
      </w:r>
      <w:r>
        <w:rPr>
          <w:spacing w:val="-11"/>
        </w:rPr>
        <w:t> </w:t>
      </w:r>
      <w:r>
        <w:rPr/>
        <w:t>a</w:t>
      </w:r>
      <w:r>
        <w:rPr>
          <w:spacing w:val="-9"/>
        </w:rPr>
        <w:t> </w:t>
      </w:r>
      <w:r>
        <w:rPr/>
        <w:t>result,</w:t>
      </w:r>
      <w:r>
        <w:rPr>
          <w:spacing w:val="-9"/>
        </w:rPr>
        <w:t> </w:t>
      </w:r>
      <w:r>
        <w:rPr/>
        <w:t>the</w:t>
      </w:r>
      <w:r>
        <w:rPr>
          <w:spacing w:val="-11"/>
        </w:rPr>
        <w:t> </w:t>
      </w:r>
      <w:r>
        <w:rPr/>
        <w:t>unit</w:t>
      </w:r>
      <w:r>
        <w:rPr>
          <w:spacing w:val="-9"/>
        </w:rPr>
        <w:t> </w:t>
      </w:r>
      <w:r>
        <w:rPr/>
        <w:t>and</w:t>
      </w:r>
      <w:r>
        <w:rPr>
          <w:spacing w:val="-9"/>
        </w:rPr>
        <w:t> </w:t>
      </w:r>
      <w:r>
        <w:rPr/>
        <w:t>bed</w:t>
      </w:r>
      <w:r>
        <w:rPr>
          <w:spacing w:val="-7"/>
        </w:rPr>
        <w:t> </w:t>
      </w:r>
      <w:r>
        <w:rPr/>
        <w:t>lease</w:t>
      </w:r>
      <w:r>
        <w:rPr>
          <w:spacing w:val="-9"/>
        </w:rPr>
        <w:t> </w:t>
      </w:r>
      <w:r>
        <w:rPr/>
        <w:t>totals</w:t>
      </w:r>
      <w:r>
        <w:rPr>
          <w:spacing w:val="-11"/>
        </w:rPr>
        <w:t> </w:t>
      </w:r>
      <w:r>
        <w:rPr/>
        <w:t>discussed</w:t>
      </w:r>
      <w:r>
        <w:rPr>
          <w:spacing w:val="-9"/>
        </w:rPr>
        <w:t> </w:t>
      </w:r>
      <w:r>
        <w:rPr/>
        <w:t>elsewhere</w:t>
      </w:r>
      <w:r>
        <w:rPr>
          <w:spacing w:val="-9"/>
        </w:rPr>
        <w:t> </w:t>
      </w:r>
      <w:r>
        <w:rPr/>
        <w:t>in</w:t>
      </w:r>
      <w:r>
        <w:rPr>
          <w:spacing w:val="-9"/>
        </w:rPr>
        <w:t> </w:t>
      </w:r>
      <w:r>
        <w:rPr/>
        <w:t>this</w:t>
      </w:r>
      <w:r>
        <w:rPr>
          <w:spacing w:val="-11"/>
        </w:rPr>
        <w:t> </w:t>
      </w:r>
      <w:r>
        <w:rPr/>
        <w:t>report</w:t>
      </w:r>
      <w:r>
        <w:rPr>
          <w:spacing w:val="-11"/>
        </w:rPr>
        <w:t> </w:t>
      </w:r>
      <w:r>
        <w:rPr/>
        <w:t>may</w:t>
      </w:r>
      <w:r>
        <w:rPr>
          <w:spacing w:val="-9"/>
        </w:rPr>
        <w:t> </w:t>
      </w:r>
      <w:r>
        <w:rPr/>
        <w:t>not equal those reported above, in some cases.</w:t>
      </w:r>
    </w:p>
    <w:p>
      <w:pPr>
        <w:pStyle w:val="BodyText"/>
        <w:spacing w:before="54"/>
      </w:pPr>
    </w:p>
    <w:p>
      <w:pPr>
        <w:spacing w:before="0"/>
        <w:ind w:left="1008" w:right="0" w:firstLine="0"/>
        <w:jc w:val="left"/>
        <w:rPr>
          <w:i/>
          <w:sz w:val="22"/>
        </w:rPr>
      </w:pPr>
      <w:r>
        <w:rPr>
          <w:i/>
          <w:sz w:val="22"/>
        </w:rPr>
        <w:t>Leasing</w:t>
      </w:r>
      <w:r>
        <w:rPr>
          <w:i/>
          <w:spacing w:val="67"/>
          <w:sz w:val="22"/>
        </w:rPr>
        <w:t> </w:t>
      </w:r>
      <w:r>
        <w:rPr>
          <w:i/>
          <w:sz w:val="22"/>
        </w:rPr>
        <w:t>“Beds”</w:t>
      </w:r>
      <w:r>
        <w:rPr>
          <w:i/>
          <w:spacing w:val="66"/>
          <w:sz w:val="22"/>
        </w:rPr>
        <w:t> </w:t>
      </w:r>
      <w:r>
        <w:rPr>
          <w:i/>
          <w:sz w:val="22"/>
        </w:rPr>
        <w:t>Versus</w:t>
      </w:r>
      <w:r>
        <w:rPr>
          <w:i/>
          <w:spacing w:val="65"/>
          <w:sz w:val="22"/>
        </w:rPr>
        <w:t> </w:t>
      </w:r>
      <w:r>
        <w:rPr>
          <w:i/>
          <w:sz w:val="22"/>
        </w:rPr>
        <w:t>Complete</w:t>
      </w:r>
      <w:r>
        <w:rPr>
          <w:i/>
          <w:spacing w:val="69"/>
          <w:sz w:val="22"/>
        </w:rPr>
        <w:t> </w:t>
      </w:r>
      <w:r>
        <w:rPr>
          <w:i/>
          <w:sz w:val="22"/>
        </w:rPr>
        <w:t>Apartment</w:t>
      </w:r>
      <w:r>
        <w:rPr>
          <w:i/>
          <w:spacing w:val="68"/>
          <w:sz w:val="22"/>
        </w:rPr>
        <w:t> </w:t>
      </w:r>
      <w:r>
        <w:rPr>
          <w:i/>
          <w:spacing w:val="-4"/>
          <w:sz w:val="22"/>
        </w:rPr>
        <w:t>Units</w:t>
      </w:r>
    </w:p>
    <w:p>
      <w:pPr>
        <w:pStyle w:val="BodyText"/>
        <w:spacing w:line="288" w:lineRule="auto" w:before="51"/>
        <w:ind w:left="1008" w:right="1001"/>
      </w:pPr>
      <w:r>
        <w:rPr/>
        <w:t>One</w:t>
      </w:r>
      <w:r>
        <w:rPr>
          <w:spacing w:val="-3"/>
        </w:rPr>
        <w:t> </w:t>
      </w:r>
      <w:r>
        <w:rPr/>
        <w:t>of</w:t>
      </w:r>
      <w:r>
        <w:rPr>
          <w:spacing w:val="-3"/>
        </w:rPr>
        <w:t> </w:t>
      </w:r>
      <w:r>
        <w:rPr/>
        <w:t>the</w:t>
      </w:r>
      <w:r>
        <w:rPr>
          <w:spacing w:val="-3"/>
        </w:rPr>
        <w:t> </w:t>
      </w:r>
      <w:r>
        <w:rPr/>
        <w:t>increasingly</w:t>
      </w:r>
      <w:r>
        <w:rPr>
          <w:spacing w:val="-7"/>
        </w:rPr>
        <w:t> </w:t>
      </w:r>
      <w:r>
        <w:rPr/>
        <w:t>common</w:t>
      </w:r>
      <w:r>
        <w:rPr>
          <w:spacing w:val="-5"/>
        </w:rPr>
        <w:t> </w:t>
      </w:r>
      <w:r>
        <w:rPr/>
        <w:t>and</w:t>
      </w:r>
      <w:r>
        <w:rPr>
          <w:spacing w:val="-1"/>
        </w:rPr>
        <w:t> </w:t>
      </w:r>
      <w:r>
        <w:rPr/>
        <w:t>complex</w:t>
      </w:r>
      <w:r>
        <w:rPr>
          <w:spacing w:val="-5"/>
        </w:rPr>
        <w:t> </w:t>
      </w:r>
      <w:r>
        <w:rPr/>
        <w:t>dynamics</w:t>
      </w:r>
      <w:r>
        <w:rPr>
          <w:spacing w:val="-5"/>
        </w:rPr>
        <w:t> </w:t>
      </w:r>
      <w:r>
        <w:rPr/>
        <w:t>of</w:t>
      </w:r>
      <w:r>
        <w:rPr>
          <w:spacing w:val="-2"/>
        </w:rPr>
        <w:t> </w:t>
      </w:r>
      <w:r>
        <w:rPr/>
        <w:t>the</w:t>
      </w:r>
      <w:r>
        <w:rPr>
          <w:spacing w:val="-3"/>
        </w:rPr>
        <w:t> </w:t>
      </w:r>
      <w:r>
        <w:rPr/>
        <w:t>local</w:t>
      </w:r>
      <w:r>
        <w:rPr>
          <w:spacing w:val="-3"/>
        </w:rPr>
        <w:t> </w:t>
      </w:r>
      <w:r>
        <w:rPr/>
        <w:t>rental</w:t>
      </w:r>
      <w:r>
        <w:rPr>
          <w:spacing w:val="-3"/>
        </w:rPr>
        <w:t> </w:t>
      </w:r>
      <w:r>
        <w:rPr/>
        <w:t>housing</w:t>
      </w:r>
      <w:r>
        <w:rPr>
          <w:spacing w:val="-6"/>
        </w:rPr>
        <w:t> </w:t>
      </w:r>
      <w:r>
        <w:rPr/>
        <w:t>market</w:t>
      </w:r>
      <w:r>
        <w:rPr>
          <w:spacing w:val="-4"/>
        </w:rPr>
        <w:t> </w:t>
      </w:r>
      <w:r>
        <w:rPr/>
        <w:t>is the</w:t>
      </w:r>
      <w:r>
        <w:rPr>
          <w:spacing w:val="-2"/>
        </w:rPr>
        <w:t> </w:t>
      </w:r>
      <w:r>
        <w:rPr/>
        <w:t>practice</w:t>
      </w:r>
      <w:r>
        <w:rPr>
          <w:spacing w:val="-2"/>
        </w:rPr>
        <w:t> </w:t>
      </w:r>
      <w:r>
        <w:rPr/>
        <w:t>of</w:t>
      </w:r>
      <w:r>
        <w:rPr>
          <w:spacing w:val="-2"/>
        </w:rPr>
        <w:t> </w:t>
      </w:r>
      <w:r>
        <w:rPr/>
        <w:t>renting</w:t>
      </w:r>
      <w:r>
        <w:rPr>
          <w:spacing w:val="-5"/>
        </w:rPr>
        <w:t> </w:t>
      </w:r>
      <w:r>
        <w:rPr/>
        <w:t>out</w:t>
      </w:r>
      <w:r>
        <w:rPr>
          <w:spacing w:val="-6"/>
        </w:rPr>
        <w:t> </w:t>
      </w:r>
      <w:r>
        <w:rPr/>
        <w:t>individual</w:t>
      </w:r>
      <w:r>
        <w:rPr>
          <w:spacing w:val="-5"/>
        </w:rPr>
        <w:t> </w:t>
      </w:r>
      <w:r>
        <w:rPr/>
        <w:t>apartment</w:t>
      </w:r>
      <w:r>
        <w:rPr>
          <w:spacing w:val="-2"/>
        </w:rPr>
        <w:t> </w:t>
      </w:r>
      <w:r>
        <w:rPr/>
        <w:t>units</w:t>
      </w:r>
      <w:r>
        <w:rPr>
          <w:spacing w:val="-4"/>
        </w:rPr>
        <w:t> </w:t>
      </w:r>
      <w:r>
        <w:rPr/>
        <w:t>to</w:t>
      </w:r>
      <w:r>
        <w:rPr>
          <w:spacing w:val="-2"/>
        </w:rPr>
        <w:t> </w:t>
      </w:r>
      <w:r>
        <w:rPr/>
        <w:t>multiple</w:t>
      </w:r>
      <w:r>
        <w:rPr>
          <w:spacing w:val="-2"/>
        </w:rPr>
        <w:t> </w:t>
      </w:r>
      <w:r>
        <w:rPr/>
        <w:t>tenants</w:t>
      </w:r>
      <w:r>
        <w:rPr>
          <w:spacing w:val="-2"/>
        </w:rPr>
        <w:t> </w:t>
      </w:r>
      <w:r>
        <w:rPr/>
        <w:t>using</w:t>
      </w:r>
      <w:r>
        <w:rPr>
          <w:spacing w:val="-5"/>
        </w:rPr>
        <w:t> </w:t>
      </w:r>
      <w:r>
        <w:rPr/>
        <w:t>multiple</w:t>
      </w:r>
      <w:r>
        <w:rPr>
          <w:spacing w:val="-2"/>
        </w:rPr>
        <w:t> </w:t>
      </w:r>
      <w:r>
        <w:rPr/>
        <w:t>lease agreements.</w:t>
      </w:r>
      <w:r>
        <w:rPr>
          <w:spacing w:val="35"/>
        </w:rPr>
        <w:t> </w:t>
      </w:r>
      <w:r>
        <w:rPr/>
        <w:t>Under</w:t>
      </w:r>
      <w:r>
        <w:rPr>
          <w:spacing w:val="-10"/>
        </w:rPr>
        <w:t> </w:t>
      </w:r>
      <w:r>
        <w:rPr/>
        <w:t>this</w:t>
      </w:r>
      <w:r>
        <w:rPr>
          <w:spacing w:val="-9"/>
        </w:rPr>
        <w:t> </w:t>
      </w:r>
      <w:r>
        <w:rPr/>
        <w:t>type</w:t>
      </w:r>
      <w:r>
        <w:rPr>
          <w:spacing w:val="-9"/>
        </w:rPr>
        <w:t> </w:t>
      </w:r>
      <w:r>
        <w:rPr/>
        <w:t>of</w:t>
      </w:r>
      <w:r>
        <w:rPr>
          <w:spacing w:val="-10"/>
        </w:rPr>
        <w:t> </w:t>
      </w:r>
      <w:r>
        <w:rPr/>
        <w:t>arrangement,</w:t>
      </w:r>
      <w:r>
        <w:rPr>
          <w:spacing w:val="-9"/>
        </w:rPr>
        <w:t> </w:t>
      </w:r>
      <w:r>
        <w:rPr/>
        <w:t>known</w:t>
      </w:r>
      <w:r>
        <w:rPr>
          <w:spacing w:val="-11"/>
        </w:rPr>
        <w:t> </w:t>
      </w:r>
      <w:r>
        <w:rPr/>
        <w:t>as</w:t>
      </w:r>
      <w:r>
        <w:rPr>
          <w:spacing w:val="-11"/>
        </w:rPr>
        <w:t> </w:t>
      </w:r>
      <w:r>
        <w:rPr/>
        <w:t>a</w:t>
      </w:r>
      <w:r>
        <w:rPr>
          <w:spacing w:val="-9"/>
        </w:rPr>
        <w:t> </w:t>
      </w:r>
      <w:r>
        <w:rPr/>
        <w:t>“bed</w:t>
      </w:r>
      <w:r>
        <w:rPr>
          <w:spacing w:val="-9"/>
        </w:rPr>
        <w:t> </w:t>
      </w:r>
      <w:r>
        <w:rPr/>
        <w:t>lease,”</w:t>
      </w:r>
      <w:r>
        <w:rPr>
          <w:spacing w:val="-9"/>
        </w:rPr>
        <w:t> </w:t>
      </w:r>
      <w:r>
        <w:rPr/>
        <w:t>each</w:t>
      </w:r>
      <w:r>
        <w:rPr>
          <w:spacing w:val="-9"/>
        </w:rPr>
        <w:t> </w:t>
      </w:r>
      <w:r>
        <w:rPr/>
        <w:t>bed</w:t>
      </w:r>
      <w:r>
        <w:rPr>
          <w:spacing w:val="-9"/>
        </w:rPr>
        <w:t> </w:t>
      </w:r>
      <w:r>
        <w:rPr/>
        <w:t>or</w:t>
      </w:r>
      <w:r>
        <w:rPr>
          <w:spacing w:val="-9"/>
        </w:rPr>
        <w:t> </w:t>
      </w:r>
      <w:r>
        <w:rPr/>
        <w:t>bedroom</w:t>
      </w:r>
      <w:r>
        <w:rPr>
          <w:spacing w:val="-9"/>
        </w:rPr>
        <w:t> </w:t>
      </w:r>
      <w:r>
        <w:rPr/>
        <w:t>in an apartment is associated with a separate</w:t>
      </w:r>
      <w:r>
        <w:rPr>
          <w:spacing w:val="-2"/>
        </w:rPr>
        <w:t> </w:t>
      </w:r>
      <w:r>
        <w:rPr/>
        <w:t>lease agreement.</w:t>
      </w:r>
      <w:r>
        <w:rPr>
          <w:spacing w:val="40"/>
        </w:rPr>
        <w:t> </w:t>
      </w:r>
      <w:r>
        <w:rPr/>
        <w:t>Each resident is thereby contractually responsible for only a</w:t>
      </w:r>
      <w:r>
        <w:rPr>
          <w:spacing w:val="-2"/>
        </w:rPr>
        <w:t> </w:t>
      </w:r>
      <w:r>
        <w:rPr/>
        <w:t>portion</w:t>
      </w:r>
      <w:r>
        <w:rPr>
          <w:spacing w:val="-2"/>
        </w:rPr>
        <w:t> </w:t>
      </w:r>
      <w:r>
        <w:rPr/>
        <w:t>of the total rent.</w:t>
      </w:r>
      <w:r>
        <w:rPr>
          <w:spacing w:val="40"/>
        </w:rPr>
        <w:t> </w:t>
      </w:r>
      <w:r>
        <w:rPr/>
        <w:t>This is compared</w:t>
      </w:r>
      <w:r>
        <w:rPr>
          <w:spacing w:val="-3"/>
        </w:rPr>
        <w:t> </w:t>
      </w:r>
      <w:r>
        <w:rPr/>
        <w:t>to the more conventional approach, in which each unit is rented under a single lease, and all of the</w:t>
      </w:r>
      <w:r>
        <w:rPr/>
        <w:t> tenants</w:t>
      </w:r>
      <w:r>
        <w:rPr>
          <w:spacing w:val="-1"/>
        </w:rPr>
        <w:t> </w:t>
      </w:r>
      <w:r>
        <w:rPr/>
        <w:t>living</w:t>
      </w:r>
      <w:r>
        <w:rPr>
          <w:spacing w:val="-1"/>
        </w:rPr>
        <w:t> </w:t>
      </w:r>
      <w:r>
        <w:rPr/>
        <w:t>in</w:t>
      </w:r>
      <w:r>
        <w:rPr>
          <w:spacing w:val="-1"/>
        </w:rPr>
        <w:t> </w:t>
      </w:r>
      <w:r>
        <w:rPr/>
        <w:t>the</w:t>
      </w:r>
      <w:r>
        <w:rPr>
          <w:spacing w:val="-3"/>
        </w:rPr>
        <w:t> </w:t>
      </w:r>
      <w:r>
        <w:rPr/>
        <w:t>unit</w:t>
      </w:r>
      <w:r>
        <w:rPr>
          <w:spacing w:val="-4"/>
        </w:rPr>
        <w:t> </w:t>
      </w:r>
      <w:r>
        <w:rPr/>
        <w:t>sign</w:t>
      </w:r>
      <w:r>
        <w:rPr>
          <w:spacing w:val="-1"/>
        </w:rPr>
        <w:t> </w:t>
      </w:r>
      <w:r>
        <w:rPr/>
        <w:t>the</w:t>
      </w:r>
      <w:r>
        <w:rPr>
          <w:spacing w:val="-1"/>
        </w:rPr>
        <w:t> </w:t>
      </w:r>
      <w:r>
        <w:rPr/>
        <w:t>lease</w:t>
      </w:r>
      <w:r>
        <w:rPr>
          <w:spacing w:val="-1"/>
        </w:rPr>
        <w:t> </w:t>
      </w:r>
      <w:r>
        <w:rPr/>
        <w:t>and</w:t>
      </w:r>
      <w:r>
        <w:rPr>
          <w:spacing w:val="-3"/>
        </w:rPr>
        <w:t> </w:t>
      </w:r>
      <w:r>
        <w:rPr/>
        <w:t>are</w:t>
      </w:r>
      <w:r>
        <w:rPr>
          <w:spacing w:val="-1"/>
        </w:rPr>
        <w:t> </w:t>
      </w:r>
      <w:r>
        <w:rPr/>
        <w:t>jointly</w:t>
      </w:r>
      <w:r>
        <w:rPr>
          <w:spacing w:val="-1"/>
        </w:rPr>
        <w:t> </w:t>
      </w:r>
      <w:r>
        <w:rPr/>
        <w:t>responsible</w:t>
      </w:r>
      <w:r>
        <w:rPr>
          <w:spacing w:val="-1"/>
        </w:rPr>
        <w:t> </w:t>
      </w:r>
      <w:r>
        <w:rPr/>
        <w:t>for</w:t>
      </w:r>
      <w:r>
        <w:rPr>
          <w:spacing w:val="-2"/>
        </w:rPr>
        <w:t> </w:t>
      </w:r>
      <w:r>
        <w:rPr/>
        <w:t>the</w:t>
      </w:r>
      <w:r>
        <w:rPr>
          <w:spacing w:val="-1"/>
        </w:rPr>
        <w:t> </w:t>
      </w:r>
      <w:r>
        <w:rPr/>
        <w:t>complete</w:t>
      </w:r>
      <w:r>
        <w:rPr>
          <w:spacing w:val="-1"/>
        </w:rPr>
        <w:t> </w:t>
      </w:r>
      <w:r>
        <w:rPr/>
        <w:t>monthly rent payment.</w:t>
      </w:r>
      <w:r>
        <w:rPr>
          <w:spacing w:val="40"/>
        </w:rPr>
        <w:t> </w:t>
      </w:r>
      <w:r>
        <w:rPr/>
        <w:t>For the purposes of this survey, this arrangement is called a “unit lease.”</w:t>
      </w:r>
    </w:p>
    <w:p>
      <w:pPr>
        <w:pStyle w:val="BodyText"/>
        <w:spacing w:before="56"/>
      </w:pPr>
    </w:p>
    <w:p>
      <w:pPr>
        <w:spacing w:before="0"/>
        <w:ind w:left="1008" w:right="0" w:firstLine="0"/>
        <w:jc w:val="left"/>
        <w:rPr>
          <w:i/>
          <w:sz w:val="22"/>
        </w:rPr>
      </w:pPr>
      <w:r>
        <w:rPr>
          <w:i/>
          <w:sz w:val="22"/>
        </w:rPr>
        <w:t>Unit</w:t>
      </w:r>
      <w:r>
        <w:rPr>
          <w:i/>
          <w:spacing w:val="42"/>
          <w:sz w:val="22"/>
        </w:rPr>
        <w:t> </w:t>
      </w:r>
      <w:r>
        <w:rPr>
          <w:i/>
          <w:spacing w:val="-2"/>
          <w:sz w:val="22"/>
        </w:rPr>
        <w:t>Leases</w:t>
      </w:r>
    </w:p>
    <w:p>
      <w:pPr>
        <w:pStyle w:val="BodyText"/>
        <w:spacing w:line="288" w:lineRule="auto" w:before="51"/>
        <w:ind w:left="1008" w:right="1168"/>
      </w:pPr>
      <w:r>
        <w:rPr/>
        <w:t>Survey</w:t>
      </w:r>
      <w:r>
        <w:rPr>
          <w:spacing w:val="-3"/>
        </w:rPr>
        <w:t> </w:t>
      </w:r>
      <w:r>
        <w:rPr/>
        <w:t>respondents</w:t>
      </w:r>
      <w:r>
        <w:rPr>
          <w:spacing w:val="-3"/>
        </w:rPr>
        <w:t> </w:t>
      </w:r>
      <w:r>
        <w:rPr/>
        <w:t>provided</w:t>
      </w:r>
      <w:r>
        <w:rPr>
          <w:spacing w:val="-3"/>
        </w:rPr>
        <w:t> </w:t>
      </w:r>
      <w:r>
        <w:rPr/>
        <w:t>unit</w:t>
      </w:r>
      <w:r>
        <w:rPr>
          <w:spacing w:val="-6"/>
        </w:rPr>
        <w:t> </w:t>
      </w:r>
      <w:r>
        <w:rPr/>
        <w:t>size</w:t>
      </w:r>
      <w:r>
        <w:rPr>
          <w:spacing w:val="-5"/>
        </w:rPr>
        <w:t> </w:t>
      </w:r>
      <w:r>
        <w:rPr/>
        <w:t>detail</w:t>
      </w:r>
      <w:r>
        <w:rPr>
          <w:spacing w:val="-6"/>
        </w:rPr>
        <w:t> </w:t>
      </w:r>
      <w:r>
        <w:rPr/>
        <w:t>for</w:t>
      </w:r>
      <w:r>
        <w:rPr>
          <w:spacing w:val="-1"/>
        </w:rPr>
        <w:t> </w:t>
      </w:r>
      <w:r>
        <w:rPr/>
        <w:t>7,083</w:t>
      </w:r>
      <w:r>
        <w:rPr>
          <w:spacing w:val="-3"/>
        </w:rPr>
        <w:t> </w:t>
      </w:r>
      <w:r>
        <w:rPr/>
        <w:t>units</w:t>
      </w:r>
      <w:r>
        <w:rPr>
          <w:spacing w:val="-5"/>
        </w:rPr>
        <w:t> </w:t>
      </w:r>
      <w:r>
        <w:rPr/>
        <w:t>that</w:t>
      </w:r>
      <w:r>
        <w:rPr>
          <w:spacing w:val="-7"/>
        </w:rPr>
        <w:t> </w:t>
      </w:r>
      <w:r>
        <w:rPr/>
        <w:t>are</w:t>
      </w:r>
      <w:r>
        <w:rPr>
          <w:spacing w:val="-3"/>
        </w:rPr>
        <w:t> </w:t>
      </w:r>
      <w:r>
        <w:rPr/>
        <w:t>rented</w:t>
      </w:r>
      <w:r>
        <w:rPr>
          <w:spacing w:val="-3"/>
        </w:rPr>
        <w:t> </w:t>
      </w:r>
      <w:r>
        <w:rPr/>
        <w:t>under</w:t>
      </w:r>
      <w:r>
        <w:rPr>
          <w:spacing w:val="-4"/>
        </w:rPr>
        <w:t> </w:t>
      </w:r>
      <w:r>
        <w:rPr/>
        <w:t>unit</w:t>
      </w:r>
      <w:r>
        <w:rPr>
          <w:spacing w:val="-3"/>
        </w:rPr>
        <w:t> </w:t>
      </w:r>
      <w:r>
        <w:rPr/>
        <w:t>lease arrangements, which</w:t>
      </w:r>
      <w:r>
        <w:rPr>
          <w:spacing w:val="-1"/>
        </w:rPr>
        <w:t> </w:t>
      </w:r>
      <w:r>
        <w:rPr/>
        <w:t>account for</w:t>
      </w:r>
      <w:r>
        <w:rPr>
          <w:spacing w:val="-1"/>
        </w:rPr>
        <w:t> </w:t>
      </w:r>
      <w:r>
        <w:rPr/>
        <w:t>about 70 percent of all reported market-rate rental units. Note that the survey results reported below exclude units for which unit size detail was not provided.</w:t>
      </w:r>
      <w:r>
        <w:rPr>
          <w:spacing w:val="40"/>
        </w:rPr>
        <w:t> </w:t>
      </w:r>
      <w:r>
        <w:rPr/>
        <w:t>Figure 1 illustrates the distribution of unit-leased apartments, by unit size.</w:t>
      </w:r>
      <w:r>
        <w:rPr>
          <w:spacing w:val="40"/>
        </w:rPr>
        <w:t> </w:t>
      </w:r>
      <w:r>
        <w:rPr/>
        <w:t>The majority of reported units</w:t>
      </w:r>
      <w:r>
        <w:rPr>
          <w:spacing w:val="-1"/>
        </w:rPr>
        <w:t> </w:t>
      </w:r>
      <w:r>
        <w:rPr/>
        <w:t>had between one and three bedrooms.</w:t>
      </w:r>
      <w:r>
        <w:rPr>
          <w:spacing w:val="40"/>
        </w:rPr>
        <w:t> </w:t>
      </w:r>
      <w:r>
        <w:rPr/>
        <w:t>One-bedroom units accounted</w:t>
      </w:r>
      <w:r>
        <w:rPr>
          <w:spacing w:val="-11"/>
        </w:rPr>
        <w:t> </w:t>
      </w:r>
      <w:r>
        <w:rPr/>
        <w:t>for</w:t>
      </w:r>
      <w:r>
        <w:rPr>
          <w:spacing w:val="-11"/>
        </w:rPr>
        <w:t> </w:t>
      </w:r>
      <w:r>
        <w:rPr/>
        <w:t>33</w:t>
      </w:r>
      <w:r>
        <w:rPr>
          <w:spacing w:val="-11"/>
        </w:rPr>
        <w:t> </w:t>
      </w:r>
      <w:r>
        <w:rPr/>
        <w:t>percent</w:t>
      </w:r>
      <w:r>
        <w:rPr>
          <w:spacing w:val="-14"/>
        </w:rPr>
        <w:t> </w:t>
      </w:r>
      <w:r>
        <w:rPr/>
        <w:t>of</w:t>
      </w:r>
      <w:r>
        <w:rPr>
          <w:spacing w:val="-10"/>
        </w:rPr>
        <w:t> </w:t>
      </w:r>
      <w:r>
        <w:rPr/>
        <w:t>the</w:t>
      </w:r>
      <w:r>
        <w:rPr>
          <w:spacing w:val="-11"/>
        </w:rPr>
        <w:t> </w:t>
      </w:r>
      <w:r>
        <w:rPr/>
        <w:t>total,</w:t>
      </w:r>
      <w:r>
        <w:rPr>
          <w:spacing w:val="-11"/>
        </w:rPr>
        <w:t> </w:t>
      </w:r>
      <w:r>
        <w:rPr/>
        <w:t>while</w:t>
      </w:r>
      <w:r>
        <w:rPr>
          <w:spacing w:val="-11"/>
        </w:rPr>
        <w:t> </w:t>
      </w:r>
      <w:r>
        <w:rPr/>
        <w:t>two-bedroom</w:t>
      </w:r>
      <w:r>
        <w:rPr>
          <w:spacing w:val="-11"/>
        </w:rPr>
        <w:t> </w:t>
      </w:r>
      <w:r>
        <w:rPr/>
        <w:t>units</w:t>
      </w:r>
      <w:r>
        <w:rPr>
          <w:spacing w:val="-12"/>
        </w:rPr>
        <w:t> </w:t>
      </w:r>
      <w:r>
        <w:rPr/>
        <w:t>accounted</w:t>
      </w:r>
      <w:r>
        <w:rPr>
          <w:spacing w:val="-11"/>
        </w:rPr>
        <w:t> </w:t>
      </w:r>
      <w:r>
        <w:rPr/>
        <w:t>for</w:t>
      </w:r>
      <w:r>
        <w:rPr>
          <w:spacing w:val="-12"/>
        </w:rPr>
        <w:t> </w:t>
      </w:r>
      <w:r>
        <w:rPr/>
        <w:t>46</w:t>
      </w:r>
      <w:r>
        <w:rPr>
          <w:spacing w:val="-11"/>
        </w:rPr>
        <w:t> </w:t>
      </w:r>
      <w:r>
        <w:rPr/>
        <w:t>percent</w:t>
      </w:r>
      <w:r>
        <w:rPr>
          <w:spacing w:val="-11"/>
        </w:rPr>
        <w:t> </w:t>
      </w:r>
      <w:r>
        <w:rPr/>
        <w:t>and three-bedroom</w:t>
      </w:r>
      <w:r>
        <w:rPr>
          <w:spacing w:val="-1"/>
        </w:rPr>
        <w:t> </w:t>
      </w:r>
      <w:r>
        <w:rPr/>
        <w:t>units represented 13 percent.</w:t>
      </w:r>
      <w:r>
        <w:rPr>
          <w:spacing w:val="40"/>
        </w:rPr>
        <w:t> </w:t>
      </w:r>
      <w:r>
        <w:rPr/>
        <w:t>Apartments with four or</w:t>
      </w:r>
      <w:r>
        <w:rPr>
          <w:spacing w:val="-2"/>
        </w:rPr>
        <w:t> </w:t>
      </w:r>
      <w:r>
        <w:rPr/>
        <w:t>more bedrooms represented five percent of reported units, while studio units represented just two percent.</w:t>
      </w:r>
    </w:p>
    <w:p>
      <w:pPr>
        <w:pStyle w:val="BodyText"/>
        <w:spacing w:before="6"/>
        <w:ind w:left="1008"/>
      </w:pPr>
      <w:r>
        <w:rPr/>
        <w:t>This</w:t>
      </w:r>
      <w:r>
        <w:rPr>
          <w:spacing w:val="-14"/>
        </w:rPr>
        <w:t> </w:t>
      </w:r>
      <w:r>
        <w:rPr/>
        <w:t>distribution</w:t>
      </w:r>
      <w:r>
        <w:rPr>
          <w:spacing w:val="-11"/>
        </w:rPr>
        <w:t> </w:t>
      </w:r>
      <w:r>
        <w:rPr/>
        <w:t>is</w:t>
      </w:r>
      <w:r>
        <w:rPr>
          <w:spacing w:val="-12"/>
        </w:rPr>
        <w:t> </w:t>
      </w:r>
      <w:r>
        <w:rPr/>
        <w:t>roughly</w:t>
      </w:r>
      <w:r>
        <w:rPr>
          <w:spacing w:val="-14"/>
        </w:rPr>
        <w:t> </w:t>
      </w:r>
      <w:r>
        <w:rPr/>
        <w:t>comparable</w:t>
      </w:r>
      <w:r>
        <w:rPr>
          <w:spacing w:val="-11"/>
        </w:rPr>
        <w:t> </w:t>
      </w:r>
      <w:r>
        <w:rPr/>
        <w:t>to</w:t>
      </w:r>
      <w:r>
        <w:rPr>
          <w:spacing w:val="-11"/>
        </w:rPr>
        <w:t> </w:t>
      </w:r>
      <w:r>
        <w:rPr/>
        <w:t>the</w:t>
      </w:r>
      <w:r>
        <w:rPr>
          <w:spacing w:val="-11"/>
        </w:rPr>
        <w:t> </w:t>
      </w:r>
      <w:r>
        <w:rPr/>
        <w:t>results</w:t>
      </w:r>
      <w:r>
        <w:rPr>
          <w:spacing w:val="-13"/>
        </w:rPr>
        <w:t> </w:t>
      </w:r>
      <w:r>
        <w:rPr/>
        <w:t>of</w:t>
      </w:r>
      <w:r>
        <w:rPr>
          <w:spacing w:val="-11"/>
        </w:rPr>
        <w:t> </w:t>
      </w:r>
      <w:r>
        <w:rPr/>
        <w:t>the</w:t>
      </w:r>
      <w:r>
        <w:rPr>
          <w:spacing w:val="-9"/>
        </w:rPr>
        <w:t> </w:t>
      </w:r>
      <w:r>
        <w:rPr/>
        <w:t>2020</w:t>
      </w:r>
      <w:r>
        <w:rPr>
          <w:spacing w:val="-11"/>
        </w:rPr>
        <w:t> </w:t>
      </w:r>
      <w:r>
        <w:rPr>
          <w:spacing w:val="-2"/>
        </w:rPr>
        <w:t>survey.</w:t>
      </w:r>
    </w:p>
    <w:p>
      <w:pPr>
        <w:pStyle w:val="BodyText"/>
        <w:spacing w:after="0"/>
        <w:sectPr>
          <w:footerReference w:type="default" r:id="rId7"/>
          <w:pgSz w:w="12240" w:h="15840"/>
          <w:pgMar w:header="0" w:footer="502" w:top="1700" w:bottom="700" w:left="720" w:right="720"/>
          <w:pgNumType w:start="2"/>
        </w:sectPr>
      </w:pPr>
    </w:p>
    <w:p>
      <w:pPr>
        <w:spacing w:before="78"/>
        <w:ind w:left="1008" w:right="0" w:firstLine="0"/>
        <w:jc w:val="left"/>
        <w:rPr>
          <w:i/>
          <w:sz w:val="22"/>
        </w:rPr>
      </w:pPr>
      <w:r>
        <w:rPr>
          <w:i/>
          <w:sz w:val="22"/>
        </w:rPr>
        <w:t>Figure</w:t>
      </w:r>
      <w:r>
        <w:rPr>
          <w:i/>
          <w:spacing w:val="-6"/>
          <w:sz w:val="22"/>
        </w:rPr>
        <w:t> </w:t>
      </w:r>
      <w:r>
        <w:rPr>
          <w:i/>
          <w:sz w:val="22"/>
        </w:rPr>
        <w:t>1:</w:t>
      </w:r>
      <w:r>
        <w:rPr>
          <w:i/>
          <w:spacing w:val="40"/>
          <w:sz w:val="22"/>
        </w:rPr>
        <w:t> </w:t>
      </w:r>
      <w:r>
        <w:rPr>
          <w:i/>
          <w:sz w:val="22"/>
        </w:rPr>
        <w:t>Distribution</w:t>
      </w:r>
      <w:r>
        <w:rPr>
          <w:i/>
          <w:spacing w:val="-7"/>
          <w:sz w:val="22"/>
        </w:rPr>
        <w:t> </w:t>
      </w:r>
      <w:r>
        <w:rPr>
          <w:i/>
          <w:sz w:val="22"/>
        </w:rPr>
        <w:t>of</w:t>
      </w:r>
      <w:r>
        <w:rPr>
          <w:i/>
          <w:spacing w:val="-8"/>
          <w:sz w:val="22"/>
        </w:rPr>
        <w:t> </w:t>
      </w:r>
      <w:r>
        <w:rPr>
          <w:i/>
          <w:sz w:val="22"/>
        </w:rPr>
        <w:t>Unit</w:t>
      </w:r>
      <w:r>
        <w:rPr>
          <w:i/>
          <w:spacing w:val="-6"/>
          <w:sz w:val="22"/>
        </w:rPr>
        <w:t> </w:t>
      </w:r>
      <w:r>
        <w:rPr>
          <w:i/>
          <w:sz w:val="22"/>
        </w:rPr>
        <w:t>Leases</w:t>
      </w:r>
      <w:r>
        <w:rPr>
          <w:i/>
          <w:spacing w:val="-6"/>
          <w:sz w:val="22"/>
        </w:rPr>
        <w:t> </w:t>
      </w:r>
      <w:r>
        <w:rPr>
          <w:i/>
          <w:sz w:val="22"/>
        </w:rPr>
        <w:t>by</w:t>
      </w:r>
      <w:r>
        <w:rPr>
          <w:i/>
          <w:spacing w:val="-6"/>
          <w:sz w:val="22"/>
        </w:rPr>
        <w:t> </w:t>
      </w:r>
      <w:r>
        <w:rPr>
          <w:i/>
          <w:sz w:val="22"/>
        </w:rPr>
        <w:t>Unit</w:t>
      </w:r>
      <w:r>
        <w:rPr>
          <w:i/>
          <w:spacing w:val="-7"/>
          <w:sz w:val="22"/>
        </w:rPr>
        <w:t> </w:t>
      </w:r>
      <w:r>
        <w:rPr>
          <w:i/>
          <w:spacing w:val="-4"/>
          <w:sz w:val="22"/>
        </w:rPr>
        <w:t>Size</w:t>
      </w:r>
    </w:p>
    <w:p>
      <w:pPr>
        <w:tabs>
          <w:tab w:pos="6001" w:val="left" w:leader="none"/>
        </w:tabs>
        <w:spacing w:before="195"/>
        <w:ind w:left="2085" w:right="0" w:firstLine="0"/>
        <w:jc w:val="left"/>
        <w:rPr>
          <w:rFonts w:ascii="Calibri"/>
          <w:sz w:val="18"/>
        </w:rPr>
      </w:pPr>
      <w:r>
        <w:rPr>
          <w:rFonts w:ascii="Calibri"/>
          <w:sz w:val="18"/>
        </w:rPr>
        <mc:AlternateContent>
          <mc:Choice Requires="wps">
            <w:drawing>
              <wp:anchor distT="0" distB="0" distL="0" distR="0" allowOverlap="1" layoutInCell="1" locked="0" behindDoc="1" simplePos="0" relativeHeight="486252032">
                <wp:simplePos x="0" y="0"/>
                <wp:positionH relativeFrom="page">
                  <wp:posOffset>1972055</wp:posOffset>
                </wp:positionH>
                <wp:positionV relativeFrom="paragraph">
                  <wp:posOffset>102480</wp:posOffset>
                </wp:positionV>
                <wp:extent cx="2287905" cy="220218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287905" cy="2202180"/>
                          <a:chExt cx="2287905" cy="2202180"/>
                        </a:xfrm>
                      </wpg:grpSpPr>
                      <pic:pic>
                        <pic:nvPicPr>
                          <pic:cNvPr id="4" name="Image 4"/>
                          <pic:cNvPicPr/>
                        </pic:nvPicPr>
                        <pic:blipFill>
                          <a:blip r:embed="rId8" cstate="print"/>
                          <a:stretch>
                            <a:fillRect/>
                          </a:stretch>
                        </pic:blipFill>
                        <pic:spPr>
                          <a:xfrm>
                            <a:off x="1071138" y="9131"/>
                            <a:ext cx="213852" cy="1104936"/>
                          </a:xfrm>
                          <a:prstGeom prst="rect">
                            <a:avLst/>
                          </a:prstGeom>
                        </pic:spPr>
                      </pic:pic>
                      <pic:pic>
                        <pic:nvPicPr>
                          <pic:cNvPr id="5" name="Image 5"/>
                          <pic:cNvPicPr/>
                        </pic:nvPicPr>
                        <pic:blipFill>
                          <a:blip r:embed="rId9" cstate="print"/>
                          <a:stretch>
                            <a:fillRect/>
                          </a:stretch>
                        </pic:blipFill>
                        <pic:spPr>
                          <a:xfrm>
                            <a:off x="1062227" y="10655"/>
                            <a:ext cx="1141463" cy="1757172"/>
                          </a:xfrm>
                          <a:prstGeom prst="rect">
                            <a:avLst/>
                          </a:prstGeom>
                        </pic:spPr>
                      </pic:pic>
                      <pic:pic>
                        <pic:nvPicPr>
                          <pic:cNvPr id="6" name="Image 6"/>
                          <pic:cNvPicPr/>
                        </pic:nvPicPr>
                        <pic:blipFill>
                          <a:blip r:embed="rId10" cstate="print"/>
                          <a:stretch>
                            <a:fillRect/>
                          </a:stretch>
                        </pic:blipFill>
                        <pic:spPr>
                          <a:xfrm>
                            <a:off x="0" y="641591"/>
                            <a:ext cx="1997964" cy="1560575"/>
                          </a:xfrm>
                          <a:prstGeom prst="rect">
                            <a:avLst/>
                          </a:prstGeom>
                        </pic:spPr>
                      </pic:pic>
                      <pic:pic>
                        <pic:nvPicPr>
                          <pic:cNvPr id="7" name="Image 7"/>
                          <pic:cNvPicPr/>
                        </pic:nvPicPr>
                        <pic:blipFill>
                          <a:blip r:embed="rId11" cstate="print"/>
                          <a:stretch>
                            <a:fillRect/>
                          </a:stretch>
                        </pic:blipFill>
                        <pic:spPr>
                          <a:xfrm>
                            <a:off x="86868" y="54864"/>
                            <a:ext cx="1056132" cy="1086599"/>
                          </a:xfrm>
                          <a:prstGeom prst="rect">
                            <a:avLst/>
                          </a:prstGeom>
                        </pic:spPr>
                      </pic:pic>
                      <pic:pic>
                        <pic:nvPicPr>
                          <pic:cNvPr id="8" name="Image 8"/>
                          <pic:cNvPicPr/>
                        </pic:nvPicPr>
                        <pic:blipFill>
                          <a:blip r:embed="rId12" cstate="print"/>
                          <a:stretch>
                            <a:fillRect/>
                          </a:stretch>
                        </pic:blipFill>
                        <pic:spPr>
                          <a:xfrm>
                            <a:off x="722376" y="0"/>
                            <a:ext cx="420674" cy="1141463"/>
                          </a:xfrm>
                          <a:prstGeom prst="rect">
                            <a:avLst/>
                          </a:prstGeom>
                        </pic:spPr>
                      </pic:pic>
                      <pic:pic>
                        <pic:nvPicPr>
                          <pic:cNvPr id="9" name="Image 9"/>
                          <pic:cNvPicPr/>
                        </pic:nvPicPr>
                        <pic:blipFill>
                          <a:blip r:embed="rId13" cstate="print"/>
                          <a:stretch>
                            <a:fillRect/>
                          </a:stretch>
                        </pic:blipFill>
                        <pic:spPr>
                          <a:xfrm>
                            <a:off x="1100327" y="15227"/>
                            <a:ext cx="157733" cy="1067561"/>
                          </a:xfrm>
                          <a:prstGeom prst="rect">
                            <a:avLst/>
                          </a:prstGeom>
                        </pic:spPr>
                      </pic:pic>
                      <pic:pic>
                        <pic:nvPicPr>
                          <pic:cNvPr id="10" name="Image 10"/>
                          <pic:cNvPicPr/>
                        </pic:nvPicPr>
                        <pic:blipFill>
                          <a:blip r:embed="rId14" cstate="print"/>
                          <a:stretch>
                            <a:fillRect/>
                          </a:stretch>
                        </pic:blipFill>
                        <pic:spPr>
                          <a:xfrm>
                            <a:off x="1100327" y="25895"/>
                            <a:ext cx="1066038" cy="1683257"/>
                          </a:xfrm>
                          <a:prstGeom prst="rect">
                            <a:avLst/>
                          </a:prstGeom>
                        </pic:spPr>
                      </pic:pic>
                      <pic:pic>
                        <pic:nvPicPr>
                          <pic:cNvPr id="11" name="Image 11"/>
                          <pic:cNvPicPr/>
                        </pic:nvPicPr>
                        <pic:blipFill>
                          <a:blip r:embed="rId15" cstate="print"/>
                          <a:stretch>
                            <a:fillRect/>
                          </a:stretch>
                        </pic:blipFill>
                        <pic:spPr>
                          <a:xfrm>
                            <a:off x="39623" y="658355"/>
                            <a:ext cx="1922525" cy="1483614"/>
                          </a:xfrm>
                          <a:prstGeom prst="rect">
                            <a:avLst/>
                          </a:prstGeom>
                        </pic:spPr>
                      </pic:pic>
                      <pic:pic>
                        <pic:nvPicPr>
                          <pic:cNvPr id="12" name="Image 12"/>
                          <pic:cNvPicPr/>
                        </pic:nvPicPr>
                        <pic:blipFill>
                          <a:blip r:embed="rId16" cstate="print"/>
                          <a:stretch>
                            <a:fillRect/>
                          </a:stretch>
                        </pic:blipFill>
                        <pic:spPr>
                          <a:xfrm>
                            <a:off x="124968" y="71615"/>
                            <a:ext cx="980706" cy="1009650"/>
                          </a:xfrm>
                          <a:prstGeom prst="rect">
                            <a:avLst/>
                          </a:prstGeom>
                        </pic:spPr>
                      </pic:pic>
                      <pic:pic>
                        <pic:nvPicPr>
                          <pic:cNvPr id="13" name="Image 13"/>
                          <pic:cNvPicPr/>
                        </pic:nvPicPr>
                        <pic:blipFill>
                          <a:blip r:embed="rId17" cstate="print"/>
                          <a:stretch>
                            <a:fillRect/>
                          </a:stretch>
                        </pic:blipFill>
                        <pic:spPr>
                          <a:xfrm>
                            <a:off x="760476" y="15227"/>
                            <a:ext cx="345211" cy="1066037"/>
                          </a:xfrm>
                          <a:prstGeom prst="rect">
                            <a:avLst/>
                          </a:prstGeom>
                        </pic:spPr>
                      </pic:pic>
                      <wps:wsp>
                        <wps:cNvPr id="14" name="Graphic 14"/>
                        <wps:cNvSpPr/>
                        <wps:spPr>
                          <a:xfrm>
                            <a:off x="197993" y="21704"/>
                            <a:ext cx="2085339" cy="109220"/>
                          </a:xfrm>
                          <a:custGeom>
                            <a:avLst/>
                            <a:gdLst/>
                            <a:ahLst/>
                            <a:cxnLst/>
                            <a:rect l="l" t="t" r="r" b="b"/>
                            <a:pathLst>
                              <a:path w="2085339" h="109220">
                                <a:moveTo>
                                  <a:pt x="981963" y="0"/>
                                </a:moveTo>
                                <a:lnTo>
                                  <a:pt x="2027047" y="108839"/>
                                </a:lnTo>
                                <a:lnTo>
                                  <a:pt x="2084831" y="108839"/>
                                </a:lnTo>
                              </a:path>
                              <a:path w="2085339" h="109220">
                                <a:moveTo>
                                  <a:pt x="734313" y="11302"/>
                                </a:moveTo>
                                <a:lnTo>
                                  <a:pt x="56514" y="108839"/>
                                </a:lnTo>
                                <a:lnTo>
                                  <a:pt x="0" y="108839"/>
                                </a:lnTo>
                              </a:path>
                            </a:pathLst>
                          </a:custGeom>
                          <a:ln w="9525">
                            <a:solidFill>
                              <a:srgbClr val="A6A6A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5.279999pt;margin-top:8.069321pt;width:180.15pt;height:173.4pt;mso-position-horizontal-relative:page;mso-position-vertical-relative:paragraph;z-index:-17064448" id="docshapegroup3" coordorigin="3106,161" coordsize="3603,3468">
                <v:shape style="position:absolute;left:4792;top:175;width:337;height:1741" type="#_x0000_t75" id="docshape4" stroked="false">
                  <v:imagedata r:id="rId8" o:title=""/>
                </v:shape>
                <v:shape style="position:absolute;left:4778;top:178;width:1798;height:2768" type="#_x0000_t75" id="docshape5" stroked="false">
                  <v:imagedata r:id="rId9" o:title=""/>
                </v:shape>
                <v:shape style="position:absolute;left:3105;top:1171;width:3147;height:2458" type="#_x0000_t75" id="docshape6" stroked="false">
                  <v:imagedata r:id="rId10" o:title=""/>
                </v:shape>
                <v:shape style="position:absolute;left:3242;top:247;width:1664;height:1712" type="#_x0000_t75" id="docshape7" stroked="false">
                  <v:imagedata r:id="rId11" o:title=""/>
                </v:shape>
                <v:shape style="position:absolute;left:4243;top:161;width:663;height:1798" type="#_x0000_t75" id="docshape8" stroked="false">
                  <v:imagedata r:id="rId12" o:title=""/>
                </v:shape>
                <v:shape style="position:absolute;left:4838;top:185;width:249;height:1682" type="#_x0000_t75" id="docshape9" stroked="false">
                  <v:imagedata r:id="rId13" o:title=""/>
                </v:shape>
                <v:shape style="position:absolute;left:4838;top:202;width:1679;height:2651" type="#_x0000_t75" id="docshape10" stroked="false">
                  <v:imagedata r:id="rId14" o:title=""/>
                </v:shape>
                <v:shape style="position:absolute;left:3168;top:1198;width:3028;height:2337" type="#_x0000_t75" id="docshape11" stroked="false">
                  <v:imagedata r:id="rId15" o:title=""/>
                </v:shape>
                <v:shape style="position:absolute;left:3302;top:274;width:1545;height:1590" type="#_x0000_t75" id="docshape12" stroked="false">
                  <v:imagedata r:id="rId16" o:title=""/>
                </v:shape>
                <v:shape style="position:absolute;left:4303;top:185;width:544;height:1679" type="#_x0000_t75" id="docshape13" stroked="false">
                  <v:imagedata r:id="rId17" o:title=""/>
                </v:shape>
                <v:shape style="position:absolute;left:3417;top:195;width:3284;height:172" id="docshape14" coordorigin="3417,196" coordsize="3284,172" path="m4964,196l6610,367,6701,367m4574,213l3506,367,3417,367e" filled="false" stroked="true" strokeweight=".75pt" strokecolor="#a6a6a6">
                  <v:path arrowok="t"/>
                  <v:stroke dashstyle="solid"/>
                </v:shape>
                <w10:wrap type="none"/>
              </v:group>
            </w:pict>
          </mc:Fallback>
        </mc:AlternateContent>
      </w:r>
      <w:r>
        <w:rPr>
          <w:rFonts w:ascii="Calibri"/>
          <w:color w:val="404040"/>
          <w:sz w:val="18"/>
        </w:rPr>
        <w:t>367;</w:t>
      </w:r>
      <w:r>
        <w:rPr>
          <w:rFonts w:ascii="Calibri"/>
          <w:color w:val="404040"/>
          <w:spacing w:val="-4"/>
          <w:sz w:val="18"/>
        </w:rPr>
        <w:t> </w:t>
      </w:r>
      <w:r>
        <w:rPr>
          <w:rFonts w:ascii="Calibri"/>
          <w:color w:val="404040"/>
          <w:spacing w:val="-5"/>
          <w:sz w:val="18"/>
        </w:rPr>
        <w:t>5%</w:t>
      </w:r>
      <w:r>
        <w:rPr>
          <w:rFonts w:ascii="Calibri"/>
          <w:color w:val="404040"/>
          <w:sz w:val="18"/>
        </w:rPr>
        <w:tab/>
        <w:t>161;</w:t>
      </w:r>
      <w:r>
        <w:rPr>
          <w:rFonts w:ascii="Calibri"/>
          <w:color w:val="404040"/>
          <w:spacing w:val="-6"/>
          <w:sz w:val="18"/>
        </w:rPr>
        <w:t> </w:t>
      </w:r>
      <w:r>
        <w:rPr>
          <w:rFonts w:ascii="Calibri"/>
          <w:color w:val="404040"/>
          <w:spacing w:val="-5"/>
          <w:sz w:val="18"/>
        </w:rPr>
        <w:t>2%</w:t>
      </w:r>
    </w:p>
    <w:p>
      <w:pPr>
        <w:pStyle w:val="BodyText"/>
        <w:spacing w:before="2"/>
        <w:rPr>
          <w:rFonts w:ascii="Calibri"/>
          <w:sz w:val="19"/>
        </w:rPr>
      </w:pPr>
    </w:p>
    <w:p>
      <w:pPr>
        <w:pStyle w:val="BodyText"/>
        <w:spacing w:after="0"/>
        <w:rPr>
          <w:rFonts w:ascii="Calibri"/>
          <w:sz w:val="19"/>
        </w:rPr>
        <w:sectPr>
          <w:pgSz w:w="12240" w:h="15840"/>
          <w:pgMar w:header="0" w:footer="502" w:top="1700" w:bottom="700" w:left="720" w:right="720"/>
        </w:sectPr>
      </w:pPr>
    </w:p>
    <w:p>
      <w:pPr>
        <w:pStyle w:val="BodyText"/>
        <w:spacing w:before="16"/>
        <w:rPr>
          <w:rFonts w:ascii="Calibri"/>
          <w:sz w:val="18"/>
        </w:rPr>
      </w:pPr>
    </w:p>
    <w:p>
      <w:pPr>
        <w:spacing w:before="0"/>
        <w:ind w:left="0" w:right="0" w:firstLine="0"/>
        <w:jc w:val="right"/>
        <w:rPr>
          <w:rFonts w:ascii="Calibri"/>
          <w:sz w:val="18"/>
        </w:rPr>
      </w:pPr>
      <w:r>
        <w:rPr>
          <w:rFonts w:ascii="Calibri"/>
          <w:color w:val="404040"/>
          <w:sz w:val="18"/>
        </w:rPr>
        <w:t>947;</w:t>
      </w:r>
      <w:r>
        <w:rPr>
          <w:rFonts w:ascii="Calibri"/>
          <w:color w:val="404040"/>
          <w:spacing w:val="-4"/>
          <w:sz w:val="18"/>
        </w:rPr>
        <w:t> </w:t>
      </w:r>
      <w:r>
        <w:rPr>
          <w:rFonts w:ascii="Calibri"/>
          <w:color w:val="404040"/>
          <w:spacing w:val="-5"/>
          <w:sz w:val="18"/>
        </w:rPr>
        <w:t>13%</w:t>
      </w:r>
    </w:p>
    <w:p>
      <w:pPr>
        <w:spacing w:line="240" w:lineRule="auto" w:before="0"/>
        <w:rPr>
          <w:rFonts w:ascii="Calibri"/>
          <w:sz w:val="18"/>
        </w:rPr>
      </w:pPr>
      <w:r>
        <w:rPr/>
        <w:br w:type="column"/>
      </w:r>
      <w:r>
        <w:rPr>
          <w:rFonts w:ascii="Calibri"/>
          <w:sz w:val="18"/>
        </w:rPr>
      </w:r>
    </w:p>
    <w:p>
      <w:pPr>
        <w:pStyle w:val="BodyText"/>
        <w:rPr>
          <w:rFonts w:ascii="Calibri"/>
          <w:sz w:val="18"/>
        </w:rPr>
      </w:pPr>
    </w:p>
    <w:p>
      <w:pPr>
        <w:pStyle w:val="BodyText"/>
        <w:spacing w:before="72"/>
        <w:rPr>
          <w:rFonts w:ascii="Calibri"/>
          <w:sz w:val="18"/>
        </w:rPr>
      </w:pPr>
    </w:p>
    <w:p>
      <w:pPr>
        <w:spacing w:before="0"/>
        <w:ind w:left="1235" w:right="0" w:firstLine="0"/>
        <w:jc w:val="left"/>
        <w:rPr>
          <w:rFonts w:ascii="Calibri"/>
          <w:sz w:val="18"/>
        </w:rPr>
      </w:pPr>
      <w:r>
        <w:rPr>
          <w:rFonts w:ascii="Calibri"/>
          <w:color w:val="404040"/>
          <w:sz w:val="18"/>
        </w:rPr>
        <w:t>2,323;</w:t>
      </w:r>
      <w:r>
        <w:rPr>
          <w:rFonts w:ascii="Calibri"/>
          <w:color w:val="404040"/>
          <w:spacing w:val="-1"/>
          <w:sz w:val="18"/>
        </w:rPr>
        <w:t> </w:t>
      </w:r>
      <w:r>
        <w:rPr>
          <w:rFonts w:ascii="Calibri"/>
          <w:color w:val="404040"/>
          <w:spacing w:val="-5"/>
          <w:sz w:val="18"/>
        </w:rPr>
        <w:t>33%</w:t>
      </w:r>
    </w:p>
    <w:p>
      <w:pPr>
        <w:spacing w:before="67"/>
        <w:ind w:left="1553" w:right="0" w:firstLine="0"/>
        <w:jc w:val="left"/>
        <w:rPr>
          <w:rFonts w:ascii="Calibri"/>
          <w:sz w:val="18"/>
        </w:rPr>
      </w:pPr>
      <w:r>
        <w:rPr/>
        <w:br w:type="column"/>
      </w:r>
      <w:r>
        <w:rPr/>
        <w:drawing>
          <wp:inline distT="0" distB="0" distL="0" distR="0">
            <wp:extent cx="64719" cy="64719"/>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8" cstate="print"/>
                    <a:stretch>
                      <a:fillRect/>
                    </a:stretch>
                  </pic:blipFill>
                  <pic:spPr>
                    <a:xfrm>
                      <a:off x="0" y="0"/>
                      <a:ext cx="64719" cy="64719"/>
                    </a:xfrm>
                    <a:prstGeom prst="rect">
                      <a:avLst/>
                    </a:prstGeom>
                  </pic:spPr>
                </pic:pic>
              </a:graphicData>
            </a:graphic>
          </wp:inline>
        </w:drawing>
      </w:r>
      <w:r>
        <w:rPr/>
      </w:r>
      <w:r>
        <w:rPr>
          <w:rFonts w:ascii="Times New Roman"/>
          <w:spacing w:val="-13"/>
          <w:sz w:val="20"/>
        </w:rPr>
        <w:t> </w:t>
      </w:r>
      <w:r>
        <w:rPr>
          <w:rFonts w:ascii="Calibri"/>
          <w:color w:val="585858"/>
          <w:sz w:val="18"/>
        </w:rPr>
        <w:t>Studio</w:t>
      </w:r>
    </w:p>
    <w:p>
      <w:pPr>
        <w:pStyle w:val="BodyText"/>
        <w:spacing w:before="31"/>
        <w:rPr>
          <w:rFonts w:ascii="Calibri"/>
          <w:sz w:val="18"/>
        </w:rPr>
      </w:pPr>
    </w:p>
    <w:p>
      <w:pPr>
        <w:spacing w:before="0"/>
        <w:ind w:left="1553" w:right="0" w:firstLine="0"/>
        <w:jc w:val="left"/>
        <w:rPr>
          <w:rFonts w:ascii="Calibri"/>
          <w:sz w:val="18"/>
        </w:rPr>
      </w:pPr>
      <w:r>
        <w:rPr/>
        <w:drawing>
          <wp:inline distT="0" distB="0" distL="0" distR="0">
            <wp:extent cx="64719" cy="64719"/>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9" cstate="print"/>
                    <a:stretch>
                      <a:fillRect/>
                    </a:stretch>
                  </pic:blipFill>
                  <pic:spPr>
                    <a:xfrm>
                      <a:off x="0" y="0"/>
                      <a:ext cx="64719" cy="64719"/>
                    </a:xfrm>
                    <a:prstGeom prst="rect">
                      <a:avLst/>
                    </a:prstGeom>
                  </pic:spPr>
                </pic:pic>
              </a:graphicData>
            </a:graphic>
          </wp:inline>
        </w:drawing>
      </w:r>
      <w:r>
        <w:rPr/>
      </w:r>
      <w:r>
        <w:rPr>
          <w:rFonts w:ascii="Times New Roman"/>
          <w:spacing w:val="-12"/>
          <w:sz w:val="20"/>
        </w:rPr>
        <w:t> </w:t>
      </w:r>
      <w:r>
        <w:rPr>
          <w:rFonts w:ascii="Calibri"/>
          <w:color w:val="585858"/>
          <w:sz w:val="18"/>
        </w:rPr>
        <w:t>1</w:t>
      </w:r>
      <w:r>
        <w:rPr>
          <w:rFonts w:ascii="Calibri"/>
          <w:color w:val="585858"/>
          <w:spacing w:val="-1"/>
          <w:sz w:val="18"/>
        </w:rPr>
        <w:t> </w:t>
      </w:r>
      <w:r>
        <w:rPr>
          <w:rFonts w:ascii="Calibri"/>
          <w:color w:val="585858"/>
          <w:sz w:val="18"/>
        </w:rPr>
        <w:t>Bedroom</w:t>
      </w:r>
    </w:p>
    <w:p>
      <w:pPr>
        <w:pStyle w:val="BodyText"/>
        <w:spacing w:before="31"/>
        <w:rPr>
          <w:rFonts w:ascii="Calibri"/>
          <w:sz w:val="18"/>
        </w:rPr>
      </w:pPr>
    </w:p>
    <w:p>
      <w:pPr>
        <w:spacing w:before="0"/>
        <w:ind w:left="1553" w:right="0" w:firstLine="0"/>
        <w:jc w:val="left"/>
        <w:rPr>
          <w:rFonts w:ascii="Calibri"/>
          <w:sz w:val="18"/>
        </w:rPr>
      </w:pPr>
      <w:r>
        <w:rPr/>
        <w:drawing>
          <wp:inline distT="0" distB="0" distL="0" distR="0">
            <wp:extent cx="64719" cy="64719"/>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20" cstate="print"/>
                    <a:stretch>
                      <a:fillRect/>
                    </a:stretch>
                  </pic:blipFill>
                  <pic:spPr>
                    <a:xfrm>
                      <a:off x="0" y="0"/>
                      <a:ext cx="64719" cy="64719"/>
                    </a:xfrm>
                    <a:prstGeom prst="rect">
                      <a:avLst/>
                    </a:prstGeom>
                  </pic:spPr>
                </pic:pic>
              </a:graphicData>
            </a:graphic>
          </wp:inline>
        </w:drawing>
      </w:r>
      <w:r>
        <w:rPr/>
      </w:r>
      <w:r>
        <w:rPr>
          <w:rFonts w:ascii="Times New Roman"/>
          <w:spacing w:val="-12"/>
          <w:sz w:val="20"/>
        </w:rPr>
        <w:t> </w:t>
      </w:r>
      <w:r>
        <w:rPr>
          <w:rFonts w:ascii="Calibri"/>
          <w:color w:val="585858"/>
          <w:sz w:val="18"/>
        </w:rPr>
        <w:t>2</w:t>
      </w:r>
      <w:r>
        <w:rPr>
          <w:rFonts w:ascii="Calibri"/>
          <w:color w:val="585858"/>
          <w:spacing w:val="-1"/>
          <w:sz w:val="18"/>
        </w:rPr>
        <w:t> </w:t>
      </w:r>
      <w:r>
        <w:rPr>
          <w:rFonts w:ascii="Calibri"/>
          <w:color w:val="585858"/>
          <w:sz w:val="18"/>
        </w:rPr>
        <w:t>Bedroom</w:t>
      </w:r>
    </w:p>
    <w:p>
      <w:pPr>
        <w:spacing w:after="0"/>
        <w:jc w:val="left"/>
        <w:rPr>
          <w:rFonts w:ascii="Calibri"/>
          <w:sz w:val="18"/>
        </w:rPr>
        <w:sectPr>
          <w:type w:val="continuous"/>
          <w:pgSz w:w="12240" w:h="15840"/>
          <w:pgMar w:header="0" w:footer="502" w:top="360" w:bottom="280" w:left="720" w:right="720"/>
          <w:cols w:num="3" w:equalWidth="0">
            <w:col w:w="3555" w:space="40"/>
            <w:col w:w="2046" w:space="39"/>
            <w:col w:w="5120"/>
          </w:cols>
        </w:sectPr>
      </w:pPr>
    </w:p>
    <w:p>
      <w:pPr>
        <w:pStyle w:val="BodyText"/>
        <w:spacing w:before="1"/>
        <w:rPr>
          <w:rFonts w:ascii="Calibri"/>
          <w:sz w:val="15"/>
        </w:rPr>
      </w:pPr>
    </w:p>
    <w:p>
      <w:pPr>
        <w:pStyle w:val="BodyText"/>
        <w:spacing w:after="0"/>
        <w:rPr>
          <w:rFonts w:ascii="Calibri"/>
          <w:sz w:val="15"/>
        </w:rPr>
        <w:sectPr>
          <w:type w:val="continuous"/>
          <w:pgSz w:w="12240" w:h="15840"/>
          <w:pgMar w:header="0" w:footer="502" w:top="360" w:bottom="280" w:left="720" w:right="720"/>
        </w:sectPr>
      </w:pPr>
    </w:p>
    <w:p>
      <w:pPr>
        <w:pStyle w:val="BodyText"/>
        <w:rPr>
          <w:rFonts w:ascii="Calibri"/>
          <w:sz w:val="18"/>
        </w:rPr>
      </w:pPr>
    </w:p>
    <w:p>
      <w:pPr>
        <w:pStyle w:val="BodyText"/>
        <w:spacing w:before="20"/>
        <w:rPr>
          <w:rFonts w:ascii="Calibri"/>
          <w:sz w:val="18"/>
        </w:rPr>
      </w:pPr>
    </w:p>
    <w:p>
      <w:pPr>
        <w:spacing w:before="0"/>
        <w:ind w:left="0" w:right="38" w:firstLine="0"/>
        <w:jc w:val="right"/>
        <w:rPr>
          <w:rFonts w:ascii="Calibri"/>
          <w:sz w:val="18"/>
        </w:rPr>
      </w:pPr>
      <w:r>
        <w:rPr>
          <w:rFonts w:ascii="Calibri"/>
          <w:color w:val="404040"/>
          <w:sz w:val="18"/>
        </w:rPr>
        <w:t>3,285;</w:t>
      </w:r>
      <w:r>
        <w:rPr>
          <w:rFonts w:ascii="Calibri"/>
          <w:color w:val="404040"/>
          <w:spacing w:val="-1"/>
          <w:sz w:val="18"/>
        </w:rPr>
        <w:t> </w:t>
      </w:r>
      <w:r>
        <w:rPr>
          <w:rFonts w:ascii="Calibri"/>
          <w:color w:val="404040"/>
          <w:spacing w:val="-5"/>
          <w:sz w:val="18"/>
        </w:rPr>
        <w:t>46%</w:t>
      </w:r>
    </w:p>
    <w:p>
      <w:pPr>
        <w:spacing w:before="66"/>
        <w:ind w:left="398" w:right="89" w:firstLine="0"/>
        <w:jc w:val="center"/>
        <w:rPr>
          <w:rFonts w:ascii="Calibri"/>
          <w:sz w:val="18"/>
        </w:rPr>
      </w:pPr>
      <w:r>
        <w:rPr/>
        <w:br w:type="column"/>
      </w:r>
      <w:r>
        <w:rPr/>
        <w:drawing>
          <wp:inline distT="0" distB="0" distL="0" distR="0">
            <wp:extent cx="64719" cy="64719"/>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21" cstate="print"/>
                    <a:stretch>
                      <a:fillRect/>
                    </a:stretch>
                  </pic:blipFill>
                  <pic:spPr>
                    <a:xfrm>
                      <a:off x="0" y="0"/>
                      <a:ext cx="64719" cy="64719"/>
                    </a:xfrm>
                    <a:prstGeom prst="rect">
                      <a:avLst/>
                    </a:prstGeom>
                  </pic:spPr>
                </pic:pic>
              </a:graphicData>
            </a:graphic>
          </wp:inline>
        </w:drawing>
      </w:r>
      <w:r>
        <w:rPr/>
      </w:r>
      <w:r>
        <w:rPr>
          <w:rFonts w:ascii="Times New Roman"/>
          <w:spacing w:val="-12"/>
          <w:sz w:val="20"/>
        </w:rPr>
        <w:t> </w:t>
      </w:r>
      <w:r>
        <w:rPr>
          <w:rFonts w:ascii="Calibri"/>
          <w:color w:val="585858"/>
          <w:sz w:val="18"/>
        </w:rPr>
        <w:t>3</w:t>
      </w:r>
      <w:r>
        <w:rPr>
          <w:rFonts w:ascii="Calibri"/>
          <w:color w:val="585858"/>
          <w:spacing w:val="-1"/>
          <w:sz w:val="18"/>
        </w:rPr>
        <w:t> </w:t>
      </w:r>
      <w:r>
        <w:rPr>
          <w:rFonts w:ascii="Calibri"/>
          <w:color w:val="585858"/>
          <w:sz w:val="18"/>
        </w:rPr>
        <w:t>Bedroom</w:t>
      </w:r>
    </w:p>
    <w:p>
      <w:pPr>
        <w:pStyle w:val="BodyText"/>
        <w:spacing w:before="31"/>
        <w:rPr>
          <w:rFonts w:ascii="Calibri"/>
          <w:sz w:val="18"/>
        </w:rPr>
      </w:pPr>
    </w:p>
    <w:p>
      <w:pPr>
        <w:spacing w:before="0"/>
        <w:ind w:left="398" w:right="0" w:firstLine="0"/>
        <w:jc w:val="center"/>
        <w:rPr>
          <w:rFonts w:ascii="Calibri"/>
          <w:sz w:val="18"/>
        </w:rPr>
      </w:pPr>
      <w:r>
        <w:rPr/>
        <w:drawing>
          <wp:inline distT="0" distB="0" distL="0" distR="0">
            <wp:extent cx="64719" cy="64719"/>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22" cstate="print"/>
                    <a:stretch>
                      <a:fillRect/>
                    </a:stretch>
                  </pic:blipFill>
                  <pic:spPr>
                    <a:xfrm>
                      <a:off x="0" y="0"/>
                      <a:ext cx="64719" cy="64719"/>
                    </a:xfrm>
                    <a:prstGeom prst="rect">
                      <a:avLst/>
                    </a:prstGeom>
                  </pic:spPr>
                </pic:pic>
              </a:graphicData>
            </a:graphic>
          </wp:inline>
        </w:drawing>
      </w:r>
      <w:r>
        <w:rPr/>
      </w:r>
      <w:r>
        <w:rPr>
          <w:rFonts w:ascii="Times New Roman"/>
          <w:spacing w:val="-12"/>
          <w:sz w:val="20"/>
        </w:rPr>
        <w:t> </w:t>
      </w:r>
      <w:r>
        <w:rPr>
          <w:rFonts w:ascii="Calibri"/>
          <w:color w:val="585858"/>
          <w:sz w:val="18"/>
        </w:rPr>
        <w:t>4+</w:t>
      </w:r>
      <w:r>
        <w:rPr>
          <w:rFonts w:ascii="Calibri"/>
          <w:color w:val="585858"/>
          <w:spacing w:val="-2"/>
          <w:sz w:val="18"/>
        </w:rPr>
        <w:t> </w:t>
      </w:r>
      <w:r>
        <w:rPr>
          <w:rFonts w:ascii="Calibri"/>
          <w:color w:val="585858"/>
          <w:sz w:val="18"/>
        </w:rPr>
        <w:t>Bedroom</w:t>
      </w:r>
    </w:p>
    <w:p>
      <w:pPr>
        <w:spacing w:after="0"/>
        <w:jc w:val="center"/>
        <w:rPr>
          <w:rFonts w:ascii="Calibri"/>
          <w:sz w:val="18"/>
        </w:rPr>
        <w:sectPr>
          <w:type w:val="continuous"/>
          <w:pgSz w:w="12240" w:h="15840"/>
          <w:pgMar w:header="0" w:footer="502" w:top="360" w:bottom="280" w:left="720" w:right="720"/>
          <w:cols w:num="2" w:equalWidth="0">
            <w:col w:w="3775" w:space="534"/>
            <w:col w:w="6491"/>
          </w:cols>
        </w:sectPr>
      </w:pPr>
    </w:p>
    <w:p>
      <w:pPr>
        <w:pStyle w:val="BodyText"/>
        <w:rPr>
          <w:rFonts w:ascii="Calibri"/>
          <w:sz w:val="16"/>
        </w:rPr>
      </w:pPr>
    </w:p>
    <w:p>
      <w:pPr>
        <w:pStyle w:val="BodyText"/>
        <w:rPr>
          <w:rFonts w:ascii="Calibri"/>
          <w:sz w:val="16"/>
        </w:rPr>
      </w:pPr>
    </w:p>
    <w:p>
      <w:pPr>
        <w:pStyle w:val="BodyText"/>
        <w:rPr>
          <w:rFonts w:ascii="Calibri"/>
          <w:sz w:val="16"/>
        </w:rPr>
      </w:pPr>
    </w:p>
    <w:p>
      <w:pPr>
        <w:pStyle w:val="BodyText"/>
        <w:spacing w:before="48"/>
        <w:rPr>
          <w:rFonts w:ascii="Calibri"/>
          <w:sz w:val="16"/>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3"/>
          <w:sz w:val="16"/>
        </w:rPr>
        <w:t> </w:t>
      </w:r>
      <w:r>
        <w:rPr>
          <w:rFonts w:ascii="Arial MT"/>
          <w:spacing w:val="-2"/>
          <w:sz w:val="16"/>
        </w:rPr>
        <w:t>2021.</w:t>
      </w:r>
    </w:p>
    <w:p>
      <w:pPr>
        <w:pStyle w:val="BodyText"/>
        <w:spacing w:before="166"/>
        <w:rPr>
          <w:rFonts w:ascii="Arial MT"/>
          <w:sz w:val="16"/>
        </w:rPr>
      </w:pPr>
    </w:p>
    <w:p>
      <w:pPr>
        <w:pStyle w:val="BodyText"/>
        <w:spacing w:line="288" w:lineRule="auto"/>
        <w:ind w:left="1008" w:right="1001"/>
      </w:pPr>
      <w:r>
        <w:rPr/>
        <w:t>Figure</w:t>
      </w:r>
      <w:r>
        <w:rPr>
          <w:spacing w:val="-13"/>
        </w:rPr>
        <w:t> </w:t>
      </w:r>
      <w:r>
        <w:rPr/>
        <w:t>2</w:t>
      </w:r>
      <w:r>
        <w:rPr>
          <w:spacing w:val="-14"/>
        </w:rPr>
        <w:t> </w:t>
      </w:r>
      <w:r>
        <w:rPr/>
        <w:t>summarizes</w:t>
      </w:r>
      <w:r>
        <w:rPr>
          <w:spacing w:val="-11"/>
        </w:rPr>
        <w:t> </w:t>
      </w:r>
      <w:r>
        <w:rPr/>
        <w:t>the</w:t>
      </w:r>
      <w:r>
        <w:rPr>
          <w:spacing w:val="-13"/>
        </w:rPr>
        <w:t> </w:t>
      </w:r>
      <w:r>
        <w:rPr/>
        <w:t>average</w:t>
      </w:r>
      <w:r>
        <w:rPr>
          <w:spacing w:val="-12"/>
        </w:rPr>
        <w:t> </w:t>
      </w:r>
      <w:r>
        <w:rPr/>
        <w:t>number</w:t>
      </w:r>
      <w:r>
        <w:rPr>
          <w:spacing w:val="-14"/>
        </w:rPr>
        <w:t> </w:t>
      </w:r>
      <w:r>
        <w:rPr/>
        <w:t>of</w:t>
      </w:r>
      <w:r>
        <w:rPr>
          <w:spacing w:val="-11"/>
        </w:rPr>
        <w:t> </w:t>
      </w:r>
      <w:r>
        <w:rPr/>
        <w:t>occupants</w:t>
      </w:r>
      <w:r>
        <w:rPr>
          <w:spacing w:val="-12"/>
        </w:rPr>
        <w:t> </w:t>
      </w:r>
      <w:r>
        <w:rPr/>
        <w:t>in</w:t>
      </w:r>
      <w:r>
        <w:rPr>
          <w:spacing w:val="-13"/>
        </w:rPr>
        <w:t> </w:t>
      </w:r>
      <w:r>
        <w:rPr/>
        <w:t>unit-leased</w:t>
      </w:r>
      <w:r>
        <w:rPr>
          <w:spacing w:val="-13"/>
        </w:rPr>
        <w:t> </w:t>
      </w:r>
      <w:r>
        <w:rPr/>
        <w:t>apartments</w:t>
      </w:r>
      <w:r>
        <w:rPr>
          <w:spacing w:val="-11"/>
        </w:rPr>
        <w:t> </w:t>
      </w:r>
      <w:r>
        <w:rPr/>
        <w:t>by</w:t>
      </w:r>
      <w:r>
        <w:rPr>
          <w:spacing w:val="-12"/>
        </w:rPr>
        <w:t> </w:t>
      </w:r>
      <w:r>
        <w:rPr/>
        <w:t>unit</w:t>
      </w:r>
      <w:r>
        <w:rPr>
          <w:spacing w:val="-14"/>
        </w:rPr>
        <w:t> </w:t>
      </w:r>
      <w:r>
        <w:rPr/>
        <w:t>size. As</w:t>
      </w:r>
      <w:r>
        <w:rPr>
          <w:spacing w:val="-4"/>
        </w:rPr>
        <w:t> </w:t>
      </w:r>
      <w:r>
        <w:rPr/>
        <w:t>reported</w:t>
      </w:r>
      <w:r>
        <w:rPr>
          <w:spacing w:val="-4"/>
        </w:rPr>
        <w:t> </w:t>
      </w:r>
      <w:r>
        <w:rPr/>
        <w:t>below,</w:t>
      </w:r>
      <w:r>
        <w:rPr>
          <w:spacing w:val="-4"/>
        </w:rPr>
        <w:t> </w:t>
      </w:r>
      <w:r>
        <w:rPr/>
        <w:t>most</w:t>
      </w:r>
      <w:r>
        <w:rPr>
          <w:spacing w:val="-8"/>
        </w:rPr>
        <w:t> </w:t>
      </w:r>
      <w:r>
        <w:rPr/>
        <w:t>units</w:t>
      </w:r>
      <w:r>
        <w:rPr>
          <w:spacing w:val="-4"/>
        </w:rPr>
        <w:t> </w:t>
      </w:r>
      <w:r>
        <w:rPr/>
        <w:t>have</w:t>
      </w:r>
      <w:r>
        <w:rPr>
          <w:spacing w:val="-4"/>
        </w:rPr>
        <w:t> </w:t>
      </w:r>
      <w:r>
        <w:rPr/>
        <w:t>at</w:t>
      </w:r>
      <w:r>
        <w:rPr>
          <w:spacing w:val="-5"/>
        </w:rPr>
        <w:t> </w:t>
      </w:r>
      <w:r>
        <w:rPr/>
        <w:t>least</w:t>
      </w:r>
      <w:r>
        <w:rPr>
          <w:spacing w:val="-8"/>
        </w:rPr>
        <w:t> </w:t>
      </w:r>
      <w:r>
        <w:rPr/>
        <w:t>one</w:t>
      </w:r>
      <w:r>
        <w:rPr>
          <w:spacing w:val="-6"/>
        </w:rPr>
        <w:t> </w:t>
      </w:r>
      <w:r>
        <w:rPr/>
        <w:t>double</w:t>
      </w:r>
      <w:r>
        <w:rPr>
          <w:spacing w:val="-4"/>
        </w:rPr>
        <w:t> </w:t>
      </w:r>
      <w:r>
        <w:rPr/>
        <w:t>occupancy</w:t>
      </w:r>
      <w:r>
        <w:rPr>
          <w:spacing w:val="-4"/>
        </w:rPr>
        <w:t> </w:t>
      </w:r>
      <w:r>
        <w:rPr/>
        <w:t>bedroom,</w:t>
      </w:r>
      <w:r>
        <w:rPr>
          <w:spacing w:val="-7"/>
        </w:rPr>
        <w:t> </w:t>
      </w:r>
      <w:r>
        <w:rPr/>
        <w:t>on</w:t>
      </w:r>
      <w:r>
        <w:rPr>
          <w:spacing w:val="-4"/>
        </w:rPr>
        <w:t> </w:t>
      </w:r>
      <w:r>
        <w:rPr/>
        <w:t>average.</w:t>
      </w:r>
      <w:r>
        <w:rPr>
          <w:spacing w:val="40"/>
        </w:rPr>
        <w:t> </w:t>
      </w:r>
      <w:r>
        <w:rPr/>
        <w:t>For example, the average</w:t>
      </w:r>
      <w:r>
        <w:rPr>
          <w:spacing w:val="-1"/>
        </w:rPr>
        <w:t> </w:t>
      </w:r>
      <w:r>
        <w:rPr/>
        <w:t>occupancy for</w:t>
      </w:r>
      <w:r>
        <w:rPr>
          <w:spacing w:val="-1"/>
        </w:rPr>
        <w:t> </w:t>
      </w:r>
      <w:r>
        <w:rPr/>
        <w:t>a one-bedroom unit is 1.6 persons, while</w:t>
      </w:r>
      <w:r>
        <w:rPr>
          <w:spacing w:val="-3"/>
        </w:rPr>
        <w:t> </w:t>
      </w:r>
      <w:r>
        <w:rPr/>
        <w:t>two-bedroom units average 3.0 residents, three-bedroom units average 4.2 residents, and four-bedroom units</w:t>
      </w:r>
      <w:r>
        <w:rPr>
          <w:spacing w:val="-2"/>
        </w:rPr>
        <w:t> </w:t>
      </w:r>
      <w:r>
        <w:rPr/>
        <w:t>average</w:t>
      </w:r>
      <w:r>
        <w:rPr>
          <w:spacing w:val="-1"/>
        </w:rPr>
        <w:t> </w:t>
      </w:r>
      <w:r>
        <w:rPr/>
        <w:t>5.3 residents.</w:t>
      </w:r>
      <w:r>
        <w:rPr>
          <w:spacing w:val="40"/>
        </w:rPr>
        <w:t> </w:t>
      </w:r>
      <w:r>
        <w:rPr/>
        <w:t>Occupancy in</w:t>
      </w:r>
      <w:r>
        <w:rPr>
          <w:spacing w:val="-2"/>
        </w:rPr>
        <w:t> </w:t>
      </w:r>
      <w:r>
        <w:rPr/>
        <w:t>studio units is most</w:t>
      </w:r>
      <w:r>
        <w:rPr>
          <w:spacing w:val="-1"/>
        </w:rPr>
        <w:t> </w:t>
      </w:r>
      <w:r>
        <w:rPr/>
        <w:t>typically a single person, with an average occupancy factor of 1.2 residents.</w:t>
      </w:r>
      <w:r>
        <w:rPr>
          <w:spacing w:val="40"/>
        </w:rPr>
        <w:t> </w:t>
      </w:r>
      <w:r>
        <w:rPr/>
        <w:t>The data indicate that average number of persons per unit increased slightly across unit types between 2020 and 2021.</w:t>
      </w:r>
    </w:p>
    <w:p>
      <w:pPr>
        <w:pStyle w:val="BodyText"/>
        <w:spacing w:before="19"/>
      </w:pPr>
    </w:p>
    <w:p>
      <w:pPr>
        <w:spacing w:before="1"/>
        <w:ind w:left="1008" w:right="0" w:firstLine="0"/>
        <w:jc w:val="left"/>
        <w:rPr>
          <w:i/>
          <w:sz w:val="22"/>
        </w:rPr>
      </w:pPr>
      <w:r>
        <w:rPr>
          <w:i/>
          <w:sz w:val="22"/>
        </w:rPr>
        <w:drawing>
          <wp:anchor distT="0" distB="0" distL="0" distR="0" allowOverlap="1" layoutInCell="1" locked="0" behindDoc="1" simplePos="0" relativeHeight="486252544">
            <wp:simplePos x="0" y="0"/>
            <wp:positionH relativeFrom="page">
              <wp:posOffset>1962886</wp:posOffset>
            </wp:positionH>
            <wp:positionV relativeFrom="paragraph">
              <wp:posOffset>270854</wp:posOffset>
            </wp:positionV>
            <wp:extent cx="4903545" cy="2224415"/>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23" cstate="print"/>
                    <a:stretch>
                      <a:fillRect/>
                    </a:stretch>
                  </pic:blipFill>
                  <pic:spPr>
                    <a:xfrm>
                      <a:off x="0" y="0"/>
                      <a:ext cx="4903545" cy="2224415"/>
                    </a:xfrm>
                    <a:prstGeom prst="rect">
                      <a:avLst/>
                    </a:prstGeom>
                  </pic:spPr>
                </pic:pic>
              </a:graphicData>
            </a:graphic>
          </wp:anchor>
        </w:drawing>
      </w:r>
      <w:r>
        <w:rPr>
          <w:i/>
          <w:sz w:val="22"/>
        </w:rPr>
        <w:t>Figure</w:t>
      </w:r>
      <w:r>
        <w:rPr>
          <w:i/>
          <w:spacing w:val="-9"/>
          <w:sz w:val="22"/>
        </w:rPr>
        <w:t> </w:t>
      </w:r>
      <w:r>
        <w:rPr>
          <w:i/>
          <w:sz w:val="22"/>
        </w:rPr>
        <w:t>2:</w:t>
      </w:r>
      <w:r>
        <w:rPr>
          <w:i/>
          <w:spacing w:val="35"/>
          <w:sz w:val="22"/>
        </w:rPr>
        <w:t> </w:t>
      </w:r>
      <w:r>
        <w:rPr>
          <w:i/>
          <w:sz w:val="22"/>
        </w:rPr>
        <w:t>Average</w:t>
      </w:r>
      <w:r>
        <w:rPr>
          <w:i/>
          <w:spacing w:val="-9"/>
          <w:sz w:val="22"/>
        </w:rPr>
        <w:t> </w:t>
      </w:r>
      <w:r>
        <w:rPr>
          <w:i/>
          <w:sz w:val="22"/>
        </w:rPr>
        <w:t>Number</w:t>
      </w:r>
      <w:r>
        <w:rPr>
          <w:i/>
          <w:spacing w:val="-8"/>
          <w:sz w:val="22"/>
        </w:rPr>
        <w:t> </w:t>
      </w:r>
      <w:r>
        <w:rPr>
          <w:i/>
          <w:sz w:val="22"/>
        </w:rPr>
        <w:t>of</w:t>
      </w:r>
      <w:r>
        <w:rPr>
          <w:i/>
          <w:spacing w:val="-8"/>
          <w:sz w:val="22"/>
        </w:rPr>
        <w:t> </w:t>
      </w:r>
      <w:r>
        <w:rPr>
          <w:i/>
          <w:sz w:val="22"/>
        </w:rPr>
        <w:t>Occupants</w:t>
      </w:r>
      <w:r>
        <w:rPr>
          <w:i/>
          <w:spacing w:val="-10"/>
          <w:sz w:val="22"/>
        </w:rPr>
        <w:t> </w:t>
      </w:r>
      <w:r>
        <w:rPr>
          <w:i/>
          <w:sz w:val="22"/>
        </w:rPr>
        <w:t>in</w:t>
      </w:r>
      <w:r>
        <w:rPr>
          <w:i/>
          <w:spacing w:val="-10"/>
          <w:sz w:val="22"/>
        </w:rPr>
        <w:t> </w:t>
      </w:r>
      <w:r>
        <w:rPr>
          <w:i/>
          <w:sz w:val="22"/>
        </w:rPr>
        <w:t>Unit-Leased</w:t>
      </w:r>
      <w:r>
        <w:rPr>
          <w:i/>
          <w:spacing w:val="-9"/>
          <w:sz w:val="22"/>
        </w:rPr>
        <w:t> </w:t>
      </w:r>
      <w:r>
        <w:rPr>
          <w:i/>
          <w:sz w:val="22"/>
        </w:rPr>
        <w:t>Apartments</w:t>
      </w:r>
      <w:r>
        <w:rPr>
          <w:i/>
          <w:spacing w:val="-10"/>
          <w:sz w:val="22"/>
        </w:rPr>
        <w:t> </w:t>
      </w:r>
      <w:r>
        <w:rPr>
          <w:i/>
          <w:sz w:val="22"/>
        </w:rPr>
        <w:t>by</w:t>
      </w:r>
      <w:r>
        <w:rPr>
          <w:i/>
          <w:spacing w:val="-8"/>
          <w:sz w:val="22"/>
        </w:rPr>
        <w:t> </w:t>
      </w:r>
      <w:r>
        <w:rPr>
          <w:i/>
          <w:spacing w:val="-4"/>
          <w:sz w:val="22"/>
        </w:rPr>
        <w:t>Type</w:t>
      </w:r>
    </w:p>
    <w:p>
      <w:pPr>
        <w:pStyle w:val="BodyText"/>
        <w:rPr>
          <w:i/>
          <w:sz w:val="20"/>
        </w:rPr>
      </w:pPr>
    </w:p>
    <w:p>
      <w:pPr>
        <w:pStyle w:val="BodyText"/>
        <w:spacing w:before="110" w:after="1"/>
        <w:rPr>
          <w:i/>
          <w:sz w:val="20"/>
        </w:rPr>
      </w:pPr>
    </w:p>
    <w:tbl>
      <w:tblPr>
        <w:tblW w:w="0" w:type="auto"/>
        <w:jc w:val="left"/>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47"/>
        <w:gridCol w:w="888"/>
        <w:gridCol w:w="528"/>
        <w:gridCol w:w="1077"/>
        <w:gridCol w:w="769"/>
        <w:gridCol w:w="623"/>
        <w:gridCol w:w="762"/>
        <w:gridCol w:w="624"/>
        <w:gridCol w:w="673"/>
        <w:gridCol w:w="624"/>
        <w:gridCol w:w="455"/>
      </w:tblGrid>
      <w:tr>
        <w:trPr>
          <w:trHeight w:val="446" w:hRule="atLeast"/>
        </w:trPr>
        <w:tc>
          <w:tcPr>
            <w:tcW w:w="2047" w:type="dxa"/>
          </w:tcPr>
          <w:p>
            <w:pPr>
              <w:pStyle w:val="TableParagraph"/>
              <w:spacing w:before="15"/>
              <w:ind w:right="788"/>
              <w:jc w:val="right"/>
              <w:rPr>
                <w:rFonts w:ascii="Calibri"/>
                <w:sz w:val="18"/>
              </w:rPr>
            </w:pPr>
            <w:r>
              <w:rPr>
                <w:rFonts w:ascii="Calibri"/>
                <w:color w:val="585858"/>
                <w:spacing w:val="-2"/>
                <w:sz w:val="18"/>
              </w:rPr>
              <w:t>Studio</w:t>
            </w:r>
          </w:p>
        </w:tc>
        <w:tc>
          <w:tcPr>
            <w:tcW w:w="888" w:type="dxa"/>
          </w:tcPr>
          <w:p>
            <w:pPr>
              <w:pStyle w:val="TableParagraph"/>
              <w:rPr>
                <w:rFonts w:ascii="Times New Roman"/>
                <w:sz w:val="20"/>
              </w:rPr>
            </w:pPr>
          </w:p>
        </w:tc>
        <w:tc>
          <w:tcPr>
            <w:tcW w:w="528" w:type="dxa"/>
          </w:tcPr>
          <w:p>
            <w:pPr>
              <w:pStyle w:val="TableParagraph"/>
              <w:spacing w:line="183" w:lineRule="exact"/>
              <w:ind w:left="151"/>
              <w:rPr>
                <w:rFonts w:ascii="Calibri"/>
                <w:sz w:val="18"/>
              </w:rPr>
            </w:pPr>
            <w:r>
              <w:rPr>
                <w:rFonts w:ascii="Calibri"/>
                <w:color w:val="404040"/>
                <w:spacing w:val="-5"/>
                <w:sz w:val="18"/>
              </w:rPr>
              <w:t>1.2</w:t>
            </w:r>
          </w:p>
        </w:tc>
        <w:tc>
          <w:tcPr>
            <w:tcW w:w="1077" w:type="dxa"/>
          </w:tcPr>
          <w:p>
            <w:pPr>
              <w:pStyle w:val="TableParagraph"/>
              <w:rPr>
                <w:rFonts w:ascii="Times New Roman"/>
                <w:sz w:val="20"/>
              </w:rPr>
            </w:pPr>
          </w:p>
        </w:tc>
        <w:tc>
          <w:tcPr>
            <w:tcW w:w="769" w:type="dxa"/>
          </w:tcPr>
          <w:p>
            <w:pPr>
              <w:pStyle w:val="TableParagraph"/>
              <w:rPr>
                <w:rFonts w:ascii="Times New Roman"/>
                <w:sz w:val="20"/>
              </w:rPr>
            </w:pPr>
          </w:p>
        </w:tc>
        <w:tc>
          <w:tcPr>
            <w:tcW w:w="623" w:type="dxa"/>
          </w:tcPr>
          <w:p>
            <w:pPr>
              <w:pStyle w:val="TableParagraph"/>
              <w:rPr>
                <w:rFonts w:ascii="Times New Roman"/>
                <w:sz w:val="20"/>
              </w:rPr>
            </w:pPr>
          </w:p>
        </w:tc>
        <w:tc>
          <w:tcPr>
            <w:tcW w:w="3138" w:type="dxa"/>
            <w:gridSpan w:val="5"/>
            <w:vMerge w:val="restart"/>
          </w:tcPr>
          <w:p>
            <w:pPr>
              <w:pStyle w:val="TableParagraph"/>
              <w:rPr>
                <w:rFonts w:ascii="Times New Roman"/>
                <w:sz w:val="20"/>
              </w:rPr>
            </w:pPr>
          </w:p>
        </w:tc>
      </w:tr>
      <w:tr>
        <w:trPr>
          <w:trHeight w:val="661" w:hRule="atLeast"/>
        </w:trPr>
        <w:tc>
          <w:tcPr>
            <w:tcW w:w="2047" w:type="dxa"/>
          </w:tcPr>
          <w:p>
            <w:pPr>
              <w:pStyle w:val="TableParagraph"/>
              <w:spacing w:before="25"/>
              <w:rPr>
                <w:rFonts w:ascii="Franklin Gothic Medium"/>
                <w:i/>
                <w:sz w:val="18"/>
              </w:rPr>
            </w:pPr>
          </w:p>
          <w:p>
            <w:pPr>
              <w:pStyle w:val="TableParagraph"/>
              <w:spacing w:before="1"/>
              <w:ind w:right="789"/>
              <w:jc w:val="right"/>
              <w:rPr>
                <w:rFonts w:ascii="Calibri"/>
                <w:sz w:val="18"/>
              </w:rPr>
            </w:pPr>
            <w:r>
              <w:rPr>
                <w:rFonts w:ascii="Calibri"/>
                <w:color w:val="585858"/>
                <w:sz w:val="18"/>
              </w:rPr>
              <w:t>1 </w:t>
            </w:r>
            <w:r>
              <w:rPr>
                <w:rFonts w:ascii="Calibri"/>
                <w:color w:val="585858"/>
                <w:spacing w:val="-2"/>
                <w:sz w:val="18"/>
              </w:rPr>
              <w:t>Bedroom</w:t>
            </w:r>
          </w:p>
        </w:tc>
        <w:tc>
          <w:tcPr>
            <w:tcW w:w="888" w:type="dxa"/>
          </w:tcPr>
          <w:p>
            <w:pPr>
              <w:pStyle w:val="TableParagraph"/>
              <w:rPr>
                <w:rFonts w:ascii="Times New Roman"/>
                <w:sz w:val="20"/>
              </w:rPr>
            </w:pPr>
          </w:p>
        </w:tc>
        <w:tc>
          <w:tcPr>
            <w:tcW w:w="528" w:type="dxa"/>
          </w:tcPr>
          <w:p>
            <w:pPr>
              <w:pStyle w:val="TableParagraph"/>
              <w:rPr>
                <w:rFonts w:ascii="Times New Roman"/>
                <w:sz w:val="20"/>
              </w:rPr>
            </w:pPr>
          </w:p>
        </w:tc>
        <w:tc>
          <w:tcPr>
            <w:tcW w:w="1077" w:type="dxa"/>
          </w:tcPr>
          <w:p>
            <w:pPr>
              <w:pStyle w:val="TableParagraph"/>
              <w:spacing w:before="178"/>
              <w:ind w:left="149"/>
              <w:rPr>
                <w:rFonts w:ascii="Calibri"/>
                <w:sz w:val="18"/>
              </w:rPr>
            </w:pPr>
            <w:r>
              <w:rPr>
                <w:rFonts w:ascii="Calibri"/>
                <w:color w:val="404040"/>
                <w:spacing w:val="-5"/>
                <w:sz w:val="18"/>
              </w:rPr>
              <w:t>1.6</w:t>
            </w:r>
          </w:p>
        </w:tc>
        <w:tc>
          <w:tcPr>
            <w:tcW w:w="769" w:type="dxa"/>
          </w:tcPr>
          <w:p>
            <w:pPr>
              <w:pStyle w:val="TableParagraph"/>
              <w:rPr>
                <w:rFonts w:ascii="Times New Roman"/>
                <w:sz w:val="20"/>
              </w:rPr>
            </w:pPr>
          </w:p>
        </w:tc>
        <w:tc>
          <w:tcPr>
            <w:tcW w:w="623" w:type="dxa"/>
          </w:tcPr>
          <w:p>
            <w:pPr>
              <w:pStyle w:val="TableParagraph"/>
              <w:rPr>
                <w:rFonts w:ascii="Times New Roman"/>
                <w:sz w:val="20"/>
              </w:rPr>
            </w:pPr>
          </w:p>
        </w:tc>
        <w:tc>
          <w:tcPr>
            <w:tcW w:w="3138" w:type="dxa"/>
            <w:gridSpan w:val="5"/>
            <w:vMerge/>
            <w:tcBorders>
              <w:top w:val="nil"/>
            </w:tcBorders>
          </w:tcPr>
          <w:p>
            <w:pPr>
              <w:rPr>
                <w:sz w:val="2"/>
                <w:szCs w:val="2"/>
              </w:rPr>
            </w:pPr>
          </w:p>
        </w:tc>
      </w:tr>
      <w:tr>
        <w:trPr>
          <w:trHeight w:val="661" w:hRule="atLeast"/>
        </w:trPr>
        <w:tc>
          <w:tcPr>
            <w:tcW w:w="2047" w:type="dxa"/>
          </w:tcPr>
          <w:p>
            <w:pPr>
              <w:pStyle w:val="TableParagraph"/>
              <w:spacing w:before="25"/>
              <w:rPr>
                <w:rFonts w:ascii="Franklin Gothic Medium"/>
                <w:i/>
                <w:sz w:val="18"/>
              </w:rPr>
            </w:pPr>
          </w:p>
          <w:p>
            <w:pPr>
              <w:pStyle w:val="TableParagraph"/>
              <w:spacing w:before="1"/>
              <w:ind w:right="789"/>
              <w:jc w:val="right"/>
              <w:rPr>
                <w:rFonts w:ascii="Calibri"/>
                <w:sz w:val="18"/>
              </w:rPr>
            </w:pPr>
            <w:r>
              <w:rPr>
                <w:rFonts w:ascii="Calibri"/>
                <w:color w:val="585858"/>
                <w:sz w:val="18"/>
              </w:rPr>
              <w:t>2 </w:t>
            </w:r>
            <w:r>
              <w:rPr>
                <w:rFonts w:ascii="Calibri"/>
                <w:color w:val="585858"/>
                <w:spacing w:val="-2"/>
                <w:sz w:val="18"/>
              </w:rPr>
              <w:t>Bedroom</w:t>
            </w:r>
          </w:p>
        </w:tc>
        <w:tc>
          <w:tcPr>
            <w:tcW w:w="888" w:type="dxa"/>
          </w:tcPr>
          <w:p>
            <w:pPr>
              <w:pStyle w:val="TableParagraph"/>
              <w:rPr>
                <w:rFonts w:ascii="Times New Roman"/>
                <w:sz w:val="20"/>
              </w:rPr>
            </w:pPr>
          </w:p>
        </w:tc>
        <w:tc>
          <w:tcPr>
            <w:tcW w:w="528" w:type="dxa"/>
          </w:tcPr>
          <w:p>
            <w:pPr>
              <w:pStyle w:val="TableParagraph"/>
              <w:rPr>
                <w:rFonts w:ascii="Times New Roman"/>
                <w:sz w:val="20"/>
              </w:rPr>
            </w:pPr>
          </w:p>
        </w:tc>
        <w:tc>
          <w:tcPr>
            <w:tcW w:w="1077" w:type="dxa"/>
          </w:tcPr>
          <w:p>
            <w:pPr>
              <w:pStyle w:val="TableParagraph"/>
              <w:rPr>
                <w:rFonts w:ascii="Times New Roman"/>
                <w:sz w:val="20"/>
              </w:rPr>
            </w:pPr>
          </w:p>
        </w:tc>
        <w:tc>
          <w:tcPr>
            <w:tcW w:w="769" w:type="dxa"/>
          </w:tcPr>
          <w:p>
            <w:pPr>
              <w:pStyle w:val="TableParagraph"/>
              <w:rPr>
                <w:rFonts w:ascii="Times New Roman"/>
                <w:sz w:val="20"/>
              </w:rPr>
            </w:pPr>
          </w:p>
        </w:tc>
        <w:tc>
          <w:tcPr>
            <w:tcW w:w="623" w:type="dxa"/>
          </w:tcPr>
          <w:p>
            <w:pPr>
              <w:pStyle w:val="TableParagraph"/>
              <w:spacing w:before="178"/>
              <w:ind w:left="31"/>
              <w:rPr>
                <w:rFonts w:ascii="Calibri"/>
                <w:sz w:val="18"/>
              </w:rPr>
            </w:pPr>
            <w:r>
              <w:rPr>
                <w:rFonts w:ascii="Calibri"/>
                <w:color w:val="404040"/>
                <w:spacing w:val="-5"/>
                <w:sz w:val="18"/>
              </w:rPr>
              <w:t>3.0</w:t>
            </w:r>
          </w:p>
        </w:tc>
        <w:tc>
          <w:tcPr>
            <w:tcW w:w="3138" w:type="dxa"/>
            <w:gridSpan w:val="5"/>
            <w:vMerge/>
            <w:tcBorders>
              <w:top w:val="nil"/>
            </w:tcBorders>
          </w:tcPr>
          <w:p>
            <w:pPr>
              <w:rPr>
                <w:sz w:val="2"/>
                <w:szCs w:val="2"/>
              </w:rPr>
            </w:pPr>
          </w:p>
        </w:tc>
      </w:tr>
      <w:tr>
        <w:trPr>
          <w:trHeight w:val="661" w:hRule="atLeast"/>
        </w:trPr>
        <w:tc>
          <w:tcPr>
            <w:tcW w:w="2047" w:type="dxa"/>
          </w:tcPr>
          <w:p>
            <w:pPr>
              <w:pStyle w:val="TableParagraph"/>
              <w:spacing w:before="25"/>
              <w:rPr>
                <w:rFonts w:ascii="Franklin Gothic Medium"/>
                <w:i/>
                <w:sz w:val="18"/>
              </w:rPr>
            </w:pPr>
          </w:p>
          <w:p>
            <w:pPr>
              <w:pStyle w:val="TableParagraph"/>
              <w:spacing w:before="1"/>
              <w:ind w:right="789"/>
              <w:jc w:val="right"/>
              <w:rPr>
                <w:rFonts w:ascii="Calibri"/>
                <w:sz w:val="18"/>
              </w:rPr>
            </w:pPr>
            <w:r>
              <w:rPr>
                <w:rFonts w:ascii="Calibri"/>
                <w:color w:val="585858"/>
                <w:sz w:val="18"/>
              </w:rPr>
              <w:t>3 </w:t>
            </w:r>
            <w:r>
              <w:rPr>
                <w:rFonts w:ascii="Calibri"/>
                <w:color w:val="585858"/>
                <w:spacing w:val="-2"/>
                <w:sz w:val="18"/>
              </w:rPr>
              <w:t>Bedroom</w:t>
            </w:r>
          </w:p>
        </w:tc>
        <w:tc>
          <w:tcPr>
            <w:tcW w:w="888" w:type="dxa"/>
          </w:tcPr>
          <w:p>
            <w:pPr>
              <w:pStyle w:val="TableParagraph"/>
              <w:rPr>
                <w:rFonts w:ascii="Times New Roman"/>
                <w:sz w:val="20"/>
              </w:rPr>
            </w:pPr>
          </w:p>
        </w:tc>
        <w:tc>
          <w:tcPr>
            <w:tcW w:w="528" w:type="dxa"/>
          </w:tcPr>
          <w:p>
            <w:pPr>
              <w:pStyle w:val="TableParagraph"/>
              <w:rPr>
                <w:rFonts w:ascii="Times New Roman"/>
                <w:sz w:val="20"/>
              </w:rPr>
            </w:pPr>
          </w:p>
        </w:tc>
        <w:tc>
          <w:tcPr>
            <w:tcW w:w="1077" w:type="dxa"/>
          </w:tcPr>
          <w:p>
            <w:pPr>
              <w:pStyle w:val="TableParagraph"/>
              <w:rPr>
                <w:rFonts w:ascii="Times New Roman"/>
                <w:sz w:val="20"/>
              </w:rPr>
            </w:pPr>
          </w:p>
        </w:tc>
        <w:tc>
          <w:tcPr>
            <w:tcW w:w="769" w:type="dxa"/>
          </w:tcPr>
          <w:p>
            <w:pPr>
              <w:pStyle w:val="TableParagraph"/>
              <w:rPr>
                <w:rFonts w:ascii="Times New Roman"/>
                <w:sz w:val="20"/>
              </w:rPr>
            </w:pPr>
          </w:p>
        </w:tc>
        <w:tc>
          <w:tcPr>
            <w:tcW w:w="623" w:type="dxa"/>
          </w:tcPr>
          <w:p>
            <w:pPr>
              <w:pStyle w:val="TableParagraph"/>
              <w:rPr>
                <w:rFonts w:ascii="Times New Roman"/>
                <w:sz w:val="20"/>
              </w:rPr>
            </w:pPr>
          </w:p>
        </w:tc>
        <w:tc>
          <w:tcPr>
            <w:tcW w:w="762" w:type="dxa"/>
          </w:tcPr>
          <w:p>
            <w:pPr>
              <w:pStyle w:val="TableParagraph"/>
              <w:rPr>
                <w:rFonts w:ascii="Times New Roman"/>
                <w:sz w:val="20"/>
              </w:rPr>
            </w:pPr>
          </w:p>
        </w:tc>
        <w:tc>
          <w:tcPr>
            <w:tcW w:w="624" w:type="dxa"/>
          </w:tcPr>
          <w:p>
            <w:pPr>
              <w:pStyle w:val="TableParagraph"/>
              <w:spacing w:before="178"/>
              <w:ind w:left="169"/>
              <w:rPr>
                <w:rFonts w:ascii="Calibri"/>
                <w:sz w:val="18"/>
              </w:rPr>
            </w:pPr>
            <w:r>
              <w:rPr>
                <w:rFonts w:ascii="Calibri"/>
                <w:color w:val="404040"/>
                <w:spacing w:val="-5"/>
                <w:sz w:val="18"/>
              </w:rPr>
              <w:t>4.2</w:t>
            </w:r>
          </w:p>
        </w:tc>
        <w:tc>
          <w:tcPr>
            <w:tcW w:w="673" w:type="dxa"/>
          </w:tcPr>
          <w:p>
            <w:pPr>
              <w:pStyle w:val="TableParagraph"/>
              <w:rPr>
                <w:rFonts w:ascii="Times New Roman"/>
                <w:sz w:val="20"/>
              </w:rPr>
            </w:pPr>
          </w:p>
        </w:tc>
        <w:tc>
          <w:tcPr>
            <w:tcW w:w="624" w:type="dxa"/>
          </w:tcPr>
          <w:p>
            <w:pPr>
              <w:pStyle w:val="TableParagraph"/>
              <w:rPr>
                <w:rFonts w:ascii="Times New Roman"/>
                <w:sz w:val="20"/>
              </w:rPr>
            </w:pPr>
          </w:p>
        </w:tc>
        <w:tc>
          <w:tcPr>
            <w:tcW w:w="455" w:type="dxa"/>
          </w:tcPr>
          <w:p>
            <w:pPr>
              <w:pStyle w:val="TableParagraph"/>
              <w:rPr>
                <w:rFonts w:ascii="Times New Roman"/>
                <w:sz w:val="20"/>
              </w:rPr>
            </w:pPr>
          </w:p>
        </w:tc>
      </w:tr>
      <w:tr>
        <w:trPr>
          <w:trHeight w:val="634" w:hRule="atLeast"/>
        </w:trPr>
        <w:tc>
          <w:tcPr>
            <w:tcW w:w="2047" w:type="dxa"/>
          </w:tcPr>
          <w:p>
            <w:pPr>
              <w:pStyle w:val="TableParagraph"/>
              <w:spacing w:before="25"/>
              <w:rPr>
                <w:rFonts w:ascii="Franklin Gothic Medium"/>
                <w:i/>
                <w:sz w:val="18"/>
              </w:rPr>
            </w:pPr>
          </w:p>
          <w:p>
            <w:pPr>
              <w:pStyle w:val="TableParagraph"/>
              <w:ind w:right="790"/>
              <w:jc w:val="right"/>
              <w:rPr>
                <w:rFonts w:ascii="Calibri"/>
                <w:sz w:val="18"/>
              </w:rPr>
            </w:pPr>
            <w:r>
              <w:rPr>
                <w:rFonts w:ascii="Calibri"/>
                <w:color w:val="585858"/>
                <w:sz w:val="18"/>
              </w:rPr>
              <w:t>4+</w:t>
            </w:r>
            <w:r>
              <w:rPr>
                <w:rFonts w:ascii="Calibri"/>
                <w:color w:val="585858"/>
                <w:spacing w:val="-1"/>
                <w:sz w:val="18"/>
              </w:rPr>
              <w:t> </w:t>
            </w:r>
            <w:r>
              <w:rPr>
                <w:rFonts w:ascii="Calibri"/>
                <w:color w:val="585858"/>
                <w:spacing w:val="-2"/>
                <w:sz w:val="18"/>
              </w:rPr>
              <w:t>Bedroom</w:t>
            </w:r>
          </w:p>
        </w:tc>
        <w:tc>
          <w:tcPr>
            <w:tcW w:w="888" w:type="dxa"/>
          </w:tcPr>
          <w:p>
            <w:pPr>
              <w:pStyle w:val="TableParagraph"/>
              <w:rPr>
                <w:rFonts w:ascii="Times New Roman"/>
                <w:sz w:val="20"/>
              </w:rPr>
            </w:pPr>
          </w:p>
        </w:tc>
        <w:tc>
          <w:tcPr>
            <w:tcW w:w="528" w:type="dxa"/>
          </w:tcPr>
          <w:p>
            <w:pPr>
              <w:pStyle w:val="TableParagraph"/>
              <w:rPr>
                <w:rFonts w:ascii="Times New Roman"/>
                <w:sz w:val="20"/>
              </w:rPr>
            </w:pPr>
          </w:p>
        </w:tc>
        <w:tc>
          <w:tcPr>
            <w:tcW w:w="1077" w:type="dxa"/>
          </w:tcPr>
          <w:p>
            <w:pPr>
              <w:pStyle w:val="TableParagraph"/>
              <w:rPr>
                <w:rFonts w:ascii="Times New Roman"/>
                <w:sz w:val="20"/>
              </w:rPr>
            </w:pPr>
          </w:p>
        </w:tc>
        <w:tc>
          <w:tcPr>
            <w:tcW w:w="769" w:type="dxa"/>
          </w:tcPr>
          <w:p>
            <w:pPr>
              <w:pStyle w:val="TableParagraph"/>
              <w:rPr>
                <w:rFonts w:ascii="Times New Roman"/>
                <w:sz w:val="20"/>
              </w:rPr>
            </w:pPr>
          </w:p>
        </w:tc>
        <w:tc>
          <w:tcPr>
            <w:tcW w:w="623" w:type="dxa"/>
          </w:tcPr>
          <w:p>
            <w:pPr>
              <w:pStyle w:val="TableParagraph"/>
              <w:rPr>
                <w:rFonts w:ascii="Times New Roman"/>
                <w:sz w:val="20"/>
              </w:rPr>
            </w:pPr>
          </w:p>
        </w:tc>
        <w:tc>
          <w:tcPr>
            <w:tcW w:w="762" w:type="dxa"/>
          </w:tcPr>
          <w:p>
            <w:pPr>
              <w:pStyle w:val="TableParagraph"/>
              <w:rPr>
                <w:rFonts w:ascii="Times New Roman"/>
                <w:sz w:val="20"/>
              </w:rPr>
            </w:pPr>
          </w:p>
        </w:tc>
        <w:tc>
          <w:tcPr>
            <w:tcW w:w="624" w:type="dxa"/>
          </w:tcPr>
          <w:p>
            <w:pPr>
              <w:pStyle w:val="TableParagraph"/>
              <w:rPr>
                <w:rFonts w:ascii="Times New Roman"/>
                <w:sz w:val="20"/>
              </w:rPr>
            </w:pPr>
          </w:p>
        </w:tc>
        <w:tc>
          <w:tcPr>
            <w:tcW w:w="673" w:type="dxa"/>
          </w:tcPr>
          <w:p>
            <w:pPr>
              <w:pStyle w:val="TableParagraph"/>
              <w:rPr>
                <w:rFonts w:ascii="Times New Roman"/>
                <w:sz w:val="20"/>
              </w:rPr>
            </w:pPr>
          </w:p>
        </w:tc>
        <w:tc>
          <w:tcPr>
            <w:tcW w:w="624" w:type="dxa"/>
          </w:tcPr>
          <w:p>
            <w:pPr>
              <w:pStyle w:val="TableParagraph"/>
              <w:spacing w:before="178"/>
              <w:ind w:left="216"/>
              <w:rPr>
                <w:rFonts w:ascii="Calibri"/>
                <w:sz w:val="18"/>
              </w:rPr>
            </w:pPr>
            <w:r>
              <w:rPr>
                <w:rFonts w:ascii="Calibri"/>
                <w:color w:val="404040"/>
                <w:spacing w:val="-5"/>
                <w:sz w:val="18"/>
              </w:rPr>
              <w:t>5.3</w:t>
            </w:r>
          </w:p>
        </w:tc>
        <w:tc>
          <w:tcPr>
            <w:tcW w:w="455" w:type="dxa"/>
          </w:tcPr>
          <w:p>
            <w:pPr>
              <w:pStyle w:val="TableParagraph"/>
              <w:rPr>
                <w:rFonts w:ascii="Times New Roman"/>
                <w:sz w:val="20"/>
              </w:rPr>
            </w:pPr>
          </w:p>
        </w:tc>
      </w:tr>
      <w:tr>
        <w:trPr>
          <w:trHeight w:val="756" w:hRule="atLeast"/>
        </w:trPr>
        <w:tc>
          <w:tcPr>
            <w:tcW w:w="2047" w:type="dxa"/>
          </w:tcPr>
          <w:p>
            <w:pPr>
              <w:pStyle w:val="TableParagraph"/>
              <w:spacing w:before="151"/>
              <w:ind w:left="1309"/>
              <w:rPr>
                <w:rFonts w:ascii="Calibri"/>
                <w:sz w:val="18"/>
              </w:rPr>
            </w:pPr>
            <w:r>
              <w:rPr>
                <w:rFonts w:ascii="Calibri"/>
                <w:color w:val="585858"/>
                <w:spacing w:val="-5"/>
                <w:sz w:val="18"/>
              </w:rPr>
              <w:t>0.0</w:t>
            </w:r>
          </w:p>
          <w:p>
            <w:pPr>
              <w:pStyle w:val="TableParagraph"/>
              <w:spacing w:line="164" w:lineRule="exact" w:before="202"/>
              <w:ind w:left="50"/>
              <w:rPr>
                <w:sz w:val="16"/>
              </w:rPr>
            </w:pPr>
            <w:r>
              <w:rPr>
                <w:sz w:val="16"/>
              </w:rPr>
              <w:t>Source:</w:t>
            </w:r>
            <w:r>
              <w:rPr>
                <w:spacing w:val="38"/>
                <w:sz w:val="16"/>
              </w:rPr>
              <w:t> </w:t>
            </w:r>
            <w:r>
              <w:rPr>
                <w:sz w:val="16"/>
              </w:rPr>
              <w:t>BAE,</w:t>
            </w:r>
            <w:r>
              <w:rPr>
                <w:spacing w:val="-3"/>
                <w:sz w:val="16"/>
              </w:rPr>
              <w:t> </w:t>
            </w:r>
            <w:r>
              <w:rPr>
                <w:spacing w:val="-2"/>
                <w:sz w:val="16"/>
              </w:rPr>
              <w:t>2021.</w:t>
            </w:r>
          </w:p>
        </w:tc>
        <w:tc>
          <w:tcPr>
            <w:tcW w:w="888" w:type="dxa"/>
          </w:tcPr>
          <w:p>
            <w:pPr>
              <w:pStyle w:val="TableParagraph"/>
              <w:spacing w:before="151"/>
              <w:ind w:left="509"/>
              <w:rPr>
                <w:rFonts w:ascii="Calibri"/>
                <w:sz w:val="18"/>
              </w:rPr>
            </w:pPr>
            <w:r>
              <w:rPr>
                <w:rFonts w:ascii="Calibri"/>
                <w:color w:val="585858"/>
                <w:spacing w:val="-5"/>
                <w:sz w:val="18"/>
              </w:rPr>
              <w:t>1.0</w:t>
            </w:r>
          </w:p>
        </w:tc>
        <w:tc>
          <w:tcPr>
            <w:tcW w:w="528" w:type="dxa"/>
          </w:tcPr>
          <w:p>
            <w:pPr>
              <w:pStyle w:val="TableParagraph"/>
              <w:rPr>
                <w:rFonts w:ascii="Times New Roman"/>
                <w:sz w:val="20"/>
              </w:rPr>
            </w:pPr>
          </w:p>
        </w:tc>
        <w:tc>
          <w:tcPr>
            <w:tcW w:w="1077" w:type="dxa"/>
          </w:tcPr>
          <w:p>
            <w:pPr>
              <w:pStyle w:val="TableParagraph"/>
              <w:spacing w:before="151"/>
              <w:ind w:left="340"/>
              <w:rPr>
                <w:rFonts w:ascii="Calibri"/>
                <w:sz w:val="18"/>
              </w:rPr>
            </w:pPr>
            <w:r>
              <w:rPr>
                <w:rFonts w:ascii="Calibri"/>
                <w:color w:val="585858"/>
                <w:spacing w:val="-5"/>
                <w:sz w:val="18"/>
              </w:rPr>
              <w:t>2.0</w:t>
            </w:r>
          </w:p>
        </w:tc>
        <w:tc>
          <w:tcPr>
            <w:tcW w:w="769" w:type="dxa"/>
          </w:tcPr>
          <w:p>
            <w:pPr>
              <w:pStyle w:val="TableParagraph"/>
              <w:spacing w:before="151"/>
              <w:ind w:left="509"/>
              <w:rPr>
                <w:rFonts w:ascii="Calibri"/>
                <w:sz w:val="18"/>
              </w:rPr>
            </w:pPr>
            <w:r>
              <w:rPr>
                <w:rFonts w:ascii="Calibri"/>
                <w:color w:val="585858"/>
                <w:spacing w:val="-5"/>
                <w:sz w:val="18"/>
              </w:rPr>
              <w:t>3.0</w:t>
            </w:r>
          </w:p>
        </w:tc>
        <w:tc>
          <w:tcPr>
            <w:tcW w:w="623" w:type="dxa"/>
          </w:tcPr>
          <w:p>
            <w:pPr>
              <w:pStyle w:val="TableParagraph"/>
              <w:rPr>
                <w:rFonts w:ascii="Times New Roman"/>
                <w:sz w:val="20"/>
              </w:rPr>
            </w:pPr>
          </w:p>
        </w:tc>
        <w:tc>
          <w:tcPr>
            <w:tcW w:w="762" w:type="dxa"/>
          </w:tcPr>
          <w:p>
            <w:pPr>
              <w:pStyle w:val="TableParagraph"/>
              <w:spacing w:before="151"/>
              <w:ind w:left="363"/>
              <w:rPr>
                <w:rFonts w:ascii="Calibri"/>
                <w:sz w:val="18"/>
              </w:rPr>
            </w:pPr>
            <w:r>
              <w:rPr>
                <w:rFonts w:ascii="Calibri"/>
                <w:color w:val="585858"/>
                <w:spacing w:val="-5"/>
                <w:sz w:val="18"/>
              </w:rPr>
              <w:t>4.0</w:t>
            </w:r>
          </w:p>
        </w:tc>
        <w:tc>
          <w:tcPr>
            <w:tcW w:w="624" w:type="dxa"/>
          </w:tcPr>
          <w:p>
            <w:pPr>
              <w:pStyle w:val="TableParagraph"/>
              <w:rPr>
                <w:rFonts w:ascii="Times New Roman"/>
                <w:sz w:val="20"/>
              </w:rPr>
            </w:pPr>
          </w:p>
        </w:tc>
        <w:tc>
          <w:tcPr>
            <w:tcW w:w="673" w:type="dxa"/>
          </w:tcPr>
          <w:p>
            <w:pPr>
              <w:pStyle w:val="TableParagraph"/>
              <w:spacing w:before="151"/>
              <w:ind w:left="224"/>
              <w:rPr>
                <w:rFonts w:ascii="Calibri"/>
                <w:sz w:val="18"/>
              </w:rPr>
            </w:pPr>
            <w:r>
              <w:rPr>
                <w:rFonts w:ascii="Calibri"/>
                <w:color w:val="585858"/>
                <w:spacing w:val="-5"/>
                <w:sz w:val="18"/>
              </w:rPr>
              <w:t>5.0</w:t>
            </w:r>
          </w:p>
        </w:tc>
        <w:tc>
          <w:tcPr>
            <w:tcW w:w="624" w:type="dxa"/>
          </w:tcPr>
          <w:p>
            <w:pPr>
              <w:pStyle w:val="TableParagraph"/>
              <w:rPr>
                <w:rFonts w:ascii="Times New Roman"/>
                <w:sz w:val="20"/>
              </w:rPr>
            </w:pPr>
          </w:p>
        </w:tc>
        <w:tc>
          <w:tcPr>
            <w:tcW w:w="455" w:type="dxa"/>
          </w:tcPr>
          <w:p>
            <w:pPr>
              <w:pStyle w:val="TableParagraph"/>
              <w:spacing w:before="151"/>
              <w:ind w:left="173"/>
              <w:rPr>
                <w:rFonts w:ascii="Calibri"/>
                <w:sz w:val="18"/>
              </w:rPr>
            </w:pPr>
            <w:r>
              <w:rPr>
                <w:rFonts w:ascii="Calibri"/>
                <w:color w:val="585858"/>
                <w:spacing w:val="-5"/>
                <w:sz w:val="18"/>
              </w:rPr>
              <w:t>6.0</w:t>
            </w:r>
          </w:p>
        </w:tc>
      </w:tr>
    </w:tbl>
    <w:p>
      <w:pPr>
        <w:pStyle w:val="TableParagraph"/>
        <w:spacing w:after="0"/>
        <w:rPr>
          <w:rFonts w:ascii="Calibri"/>
          <w:sz w:val="18"/>
        </w:rPr>
        <w:sectPr>
          <w:type w:val="continuous"/>
          <w:pgSz w:w="12240" w:h="15840"/>
          <w:pgMar w:header="0" w:footer="502" w:top="360" w:bottom="280" w:left="720" w:right="720"/>
        </w:sectPr>
      </w:pPr>
    </w:p>
    <w:p>
      <w:pPr>
        <w:pStyle w:val="BodyText"/>
        <w:spacing w:line="288" w:lineRule="auto" w:before="78"/>
        <w:ind w:left="1008" w:right="1001"/>
      </w:pPr>
      <w:r>
        <w:rPr/>
        <w:t>Table 1, below, provides</w:t>
      </w:r>
      <w:r>
        <w:rPr>
          <w:spacing w:val="-1"/>
        </w:rPr>
        <w:t> </w:t>
      </w:r>
      <w:r>
        <w:rPr/>
        <w:t>detailed</w:t>
      </w:r>
      <w:r>
        <w:rPr>
          <w:spacing w:val="-1"/>
        </w:rPr>
        <w:t> </w:t>
      </w:r>
      <w:r>
        <w:rPr/>
        <w:t>unit totals,</w:t>
      </w:r>
      <w:r>
        <w:rPr>
          <w:spacing w:val="-2"/>
        </w:rPr>
        <w:t> </w:t>
      </w:r>
      <w:r>
        <w:rPr/>
        <w:t>along with the number of vacant</w:t>
      </w:r>
      <w:r>
        <w:rPr>
          <w:spacing w:val="-2"/>
        </w:rPr>
        <w:t> </w:t>
      </w:r>
      <w:r>
        <w:rPr/>
        <w:t>units, and the associated vacancy rate by unit size.</w:t>
      </w:r>
      <w:r>
        <w:rPr>
          <w:spacing w:val="40"/>
        </w:rPr>
        <w:t> </w:t>
      </w:r>
      <w:r>
        <w:rPr/>
        <w:t>Again, the results reflect only those survey responses that</w:t>
      </w:r>
      <w:r>
        <w:rPr>
          <w:spacing w:val="-9"/>
        </w:rPr>
        <w:t> </w:t>
      </w:r>
      <w:r>
        <w:rPr/>
        <w:t>provided</w:t>
      </w:r>
      <w:r>
        <w:rPr>
          <w:spacing w:val="-10"/>
        </w:rPr>
        <w:t> </w:t>
      </w:r>
      <w:r>
        <w:rPr/>
        <w:t>unit</w:t>
      </w:r>
      <w:r>
        <w:rPr>
          <w:spacing w:val="-8"/>
        </w:rPr>
        <w:t> </w:t>
      </w:r>
      <w:r>
        <w:rPr/>
        <w:t>size</w:t>
      </w:r>
      <w:r>
        <w:rPr>
          <w:spacing w:val="-8"/>
        </w:rPr>
        <w:t> </w:t>
      </w:r>
      <w:r>
        <w:rPr/>
        <w:t>and</w:t>
      </w:r>
      <w:r>
        <w:rPr>
          <w:spacing w:val="-8"/>
        </w:rPr>
        <w:t> </w:t>
      </w:r>
      <w:r>
        <w:rPr/>
        <w:t>vacancy</w:t>
      </w:r>
      <w:r>
        <w:rPr>
          <w:spacing w:val="-11"/>
        </w:rPr>
        <w:t> </w:t>
      </w:r>
      <w:r>
        <w:rPr/>
        <w:t>details.</w:t>
      </w:r>
      <w:r>
        <w:rPr>
          <w:spacing w:val="39"/>
        </w:rPr>
        <w:t> </w:t>
      </w:r>
      <w:r>
        <w:rPr/>
        <w:t>Per</w:t>
      </w:r>
      <w:r>
        <w:rPr>
          <w:spacing w:val="-9"/>
        </w:rPr>
        <w:t> </w:t>
      </w:r>
      <w:r>
        <w:rPr/>
        <w:t>the</w:t>
      </w:r>
      <w:r>
        <w:rPr>
          <w:spacing w:val="-10"/>
        </w:rPr>
        <w:t> </w:t>
      </w:r>
      <w:r>
        <w:rPr/>
        <w:t>survey</w:t>
      </w:r>
      <w:r>
        <w:rPr>
          <w:spacing w:val="-8"/>
        </w:rPr>
        <w:t> </w:t>
      </w:r>
      <w:r>
        <w:rPr/>
        <w:t>respondents,</w:t>
      </w:r>
      <w:r>
        <w:rPr>
          <w:spacing w:val="-8"/>
        </w:rPr>
        <w:t> </w:t>
      </w:r>
      <w:r>
        <w:rPr/>
        <w:t>there</w:t>
      </w:r>
      <w:r>
        <w:rPr>
          <w:spacing w:val="-8"/>
        </w:rPr>
        <w:t> </w:t>
      </w:r>
      <w:r>
        <w:rPr/>
        <w:t>were</w:t>
      </w:r>
      <w:r>
        <w:rPr>
          <w:spacing w:val="-8"/>
        </w:rPr>
        <w:t> </w:t>
      </w:r>
      <w:r>
        <w:rPr/>
        <w:t>81</w:t>
      </w:r>
      <w:r>
        <w:rPr>
          <w:spacing w:val="-8"/>
        </w:rPr>
        <w:t> </w:t>
      </w:r>
      <w:r>
        <w:rPr/>
        <w:t>vacant apartments available</w:t>
      </w:r>
      <w:r>
        <w:rPr>
          <w:spacing w:val="-1"/>
        </w:rPr>
        <w:t> </w:t>
      </w:r>
      <w:r>
        <w:rPr/>
        <w:t>for lease on a unit-lease basis during the survey period,</w:t>
      </w:r>
      <w:r>
        <w:rPr>
          <w:spacing w:val="-1"/>
        </w:rPr>
        <w:t> </w:t>
      </w:r>
      <w:r>
        <w:rPr/>
        <w:t>which is significantly</w:t>
      </w:r>
      <w:r>
        <w:rPr>
          <w:spacing w:val="-5"/>
        </w:rPr>
        <w:t> </w:t>
      </w:r>
      <w:r>
        <w:rPr/>
        <w:t>lower</w:t>
      </w:r>
      <w:r>
        <w:rPr>
          <w:spacing w:val="-6"/>
        </w:rPr>
        <w:t> </w:t>
      </w:r>
      <w:r>
        <w:rPr/>
        <w:t>than</w:t>
      </w:r>
      <w:r>
        <w:rPr>
          <w:spacing w:val="-5"/>
        </w:rPr>
        <w:t> </w:t>
      </w:r>
      <w:r>
        <w:rPr/>
        <w:t>the</w:t>
      </w:r>
      <w:r>
        <w:rPr>
          <w:spacing w:val="-5"/>
        </w:rPr>
        <w:t> </w:t>
      </w:r>
      <w:r>
        <w:rPr/>
        <w:t>570</w:t>
      </w:r>
      <w:r>
        <w:rPr>
          <w:spacing w:val="-5"/>
        </w:rPr>
        <w:t> </w:t>
      </w:r>
      <w:r>
        <w:rPr/>
        <w:t>vacant</w:t>
      </w:r>
      <w:r>
        <w:rPr>
          <w:spacing w:val="-5"/>
        </w:rPr>
        <w:t> </w:t>
      </w:r>
      <w:r>
        <w:rPr/>
        <w:t>units</w:t>
      </w:r>
      <w:r>
        <w:rPr>
          <w:spacing w:val="-5"/>
        </w:rPr>
        <w:t> </w:t>
      </w:r>
      <w:r>
        <w:rPr/>
        <w:t>in</w:t>
      </w:r>
      <w:r>
        <w:rPr>
          <w:spacing w:val="-5"/>
        </w:rPr>
        <w:t> </w:t>
      </w:r>
      <w:r>
        <w:rPr/>
        <w:t>2020.</w:t>
      </w:r>
      <w:r>
        <w:rPr>
          <w:spacing w:val="40"/>
        </w:rPr>
        <w:t> </w:t>
      </w:r>
      <w:r>
        <w:rPr/>
        <w:t>This</w:t>
      </w:r>
      <w:r>
        <w:rPr>
          <w:spacing w:val="-5"/>
        </w:rPr>
        <w:t> </w:t>
      </w:r>
      <w:r>
        <w:rPr/>
        <w:t>translates</w:t>
      </w:r>
      <w:r>
        <w:rPr>
          <w:spacing w:val="-5"/>
        </w:rPr>
        <w:t> </w:t>
      </w:r>
      <w:r>
        <w:rPr/>
        <w:t>to</w:t>
      </w:r>
      <w:r>
        <w:rPr>
          <w:spacing w:val="-7"/>
        </w:rPr>
        <w:t> </w:t>
      </w:r>
      <w:r>
        <w:rPr/>
        <w:t>a</w:t>
      </w:r>
      <w:r>
        <w:rPr>
          <w:spacing w:val="-5"/>
        </w:rPr>
        <w:t> </w:t>
      </w:r>
      <w:r>
        <w:rPr/>
        <w:t>vacancy</w:t>
      </w:r>
      <w:r>
        <w:rPr>
          <w:spacing w:val="-5"/>
        </w:rPr>
        <w:t> </w:t>
      </w:r>
      <w:r>
        <w:rPr/>
        <w:t>rate</w:t>
      </w:r>
      <w:r>
        <w:rPr>
          <w:spacing w:val="-5"/>
        </w:rPr>
        <w:t> </w:t>
      </w:r>
      <w:r>
        <w:rPr/>
        <w:t>of</w:t>
      </w:r>
      <w:r>
        <w:rPr>
          <w:spacing w:val="-5"/>
        </w:rPr>
        <w:t> </w:t>
      </w:r>
      <w:r>
        <w:rPr/>
        <w:t>1.1 percent.</w:t>
      </w:r>
      <w:r>
        <w:rPr>
          <w:spacing w:val="40"/>
        </w:rPr>
        <w:t> </w:t>
      </w:r>
      <w:r>
        <w:rPr/>
        <w:t>This vacancy rate is notably lower than the rate recorded in the 2020 survey (8.4 percent) but is</w:t>
      </w:r>
      <w:r>
        <w:rPr>
          <w:spacing w:val="-1"/>
        </w:rPr>
        <w:t> </w:t>
      </w:r>
      <w:r>
        <w:rPr/>
        <w:t>closer to the historical</w:t>
      </w:r>
      <w:r>
        <w:rPr>
          <w:spacing w:val="-2"/>
        </w:rPr>
        <w:t> </w:t>
      </w:r>
      <w:r>
        <w:rPr/>
        <w:t>average</w:t>
      </w:r>
      <w:r>
        <w:rPr>
          <w:spacing w:val="-2"/>
        </w:rPr>
        <w:t> </w:t>
      </w:r>
      <w:r>
        <w:rPr/>
        <w:t>citywide vacancy rates in the Davis market, which have typically averaged around 1.0 percent.</w:t>
      </w:r>
    </w:p>
    <w:p>
      <w:pPr>
        <w:pStyle w:val="BodyText"/>
        <w:spacing w:before="56"/>
      </w:pPr>
    </w:p>
    <w:p>
      <w:pPr>
        <w:pStyle w:val="BodyText"/>
        <w:spacing w:line="288" w:lineRule="auto"/>
        <w:ind w:left="1008" w:right="1001"/>
      </w:pPr>
      <w:r>
        <w:rPr/>
        <w:t>Broken</w:t>
      </w:r>
      <w:r>
        <w:rPr>
          <w:spacing w:val="-8"/>
        </w:rPr>
        <w:t> </w:t>
      </w:r>
      <w:r>
        <w:rPr/>
        <w:t>down</w:t>
      </w:r>
      <w:r>
        <w:rPr>
          <w:spacing w:val="-6"/>
        </w:rPr>
        <w:t> </w:t>
      </w:r>
      <w:r>
        <w:rPr/>
        <w:t>by</w:t>
      </w:r>
      <w:r>
        <w:rPr>
          <w:spacing w:val="-6"/>
        </w:rPr>
        <w:t> </w:t>
      </w:r>
      <w:r>
        <w:rPr/>
        <w:t>unit</w:t>
      </w:r>
      <w:r>
        <w:rPr>
          <w:spacing w:val="-7"/>
        </w:rPr>
        <w:t> </w:t>
      </w:r>
      <w:r>
        <w:rPr/>
        <w:t>type,</w:t>
      </w:r>
      <w:r>
        <w:rPr>
          <w:spacing w:val="-10"/>
        </w:rPr>
        <w:t> </w:t>
      </w:r>
      <w:r>
        <w:rPr/>
        <w:t>the</w:t>
      </w:r>
      <w:r>
        <w:rPr>
          <w:spacing w:val="-5"/>
        </w:rPr>
        <w:t> </w:t>
      </w:r>
      <w:r>
        <w:rPr/>
        <w:t>2021</w:t>
      </w:r>
      <w:r>
        <w:rPr>
          <w:spacing w:val="-6"/>
        </w:rPr>
        <w:t> </w:t>
      </w:r>
      <w:r>
        <w:rPr/>
        <w:t>survey</w:t>
      </w:r>
      <w:r>
        <w:rPr>
          <w:spacing w:val="-6"/>
        </w:rPr>
        <w:t> </w:t>
      </w:r>
      <w:r>
        <w:rPr/>
        <w:t>results</w:t>
      </w:r>
      <w:r>
        <w:rPr>
          <w:spacing w:val="-7"/>
        </w:rPr>
        <w:t> </w:t>
      </w:r>
      <w:r>
        <w:rPr/>
        <w:t>show</w:t>
      </w:r>
      <w:r>
        <w:rPr>
          <w:spacing w:val="-5"/>
        </w:rPr>
        <w:t> </w:t>
      </w:r>
      <w:r>
        <w:rPr/>
        <w:t>that</w:t>
      </w:r>
      <w:r>
        <w:rPr>
          <w:spacing w:val="-7"/>
        </w:rPr>
        <w:t> </w:t>
      </w:r>
      <w:r>
        <w:rPr/>
        <w:t>the</w:t>
      </w:r>
      <w:r>
        <w:rPr>
          <w:spacing w:val="-6"/>
        </w:rPr>
        <w:t> </w:t>
      </w:r>
      <w:r>
        <w:rPr/>
        <w:t>vacancy</w:t>
      </w:r>
      <w:r>
        <w:rPr>
          <w:spacing w:val="-6"/>
        </w:rPr>
        <w:t> </w:t>
      </w:r>
      <w:r>
        <w:rPr/>
        <w:t>rate</w:t>
      </w:r>
      <w:r>
        <w:rPr>
          <w:spacing w:val="-8"/>
        </w:rPr>
        <w:t> </w:t>
      </w:r>
      <w:r>
        <w:rPr/>
        <w:t>was</w:t>
      </w:r>
      <w:r>
        <w:rPr>
          <w:spacing w:val="-3"/>
        </w:rPr>
        <w:t> </w:t>
      </w:r>
      <w:r>
        <w:rPr/>
        <w:t>the</w:t>
      </w:r>
      <w:r>
        <w:rPr>
          <w:spacing w:val="-6"/>
        </w:rPr>
        <w:t> </w:t>
      </w:r>
      <w:r>
        <w:rPr/>
        <w:t>highest among larger unit sizes.</w:t>
      </w:r>
      <w:r>
        <w:rPr>
          <w:spacing w:val="40"/>
        </w:rPr>
        <w:t> </w:t>
      </w:r>
      <w:r>
        <w:rPr/>
        <w:t>As seen below, four-bedroom and three-bedroom</w:t>
      </w:r>
      <w:r>
        <w:rPr>
          <w:spacing w:val="-1"/>
        </w:rPr>
        <w:t> </w:t>
      </w:r>
      <w:r>
        <w:rPr/>
        <w:t>units had the highest reported vacancy rates, at 10.1 percent and 2.4 percent, respectively.</w:t>
      </w:r>
      <w:r>
        <w:rPr>
          <w:spacing w:val="40"/>
        </w:rPr>
        <w:t> </w:t>
      </w:r>
      <w:r>
        <w:rPr/>
        <w:t>Anecdotal information</w:t>
      </w:r>
      <w:r>
        <w:rPr>
          <w:spacing w:val="-2"/>
        </w:rPr>
        <w:t> </w:t>
      </w:r>
      <w:r>
        <w:rPr/>
        <w:t>suggests larger</w:t>
      </w:r>
      <w:r>
        <w:rPr>
          <w:spacing w:val="-1"/>
        </w:rPr>
        <w:t> </w:t>
      </w:r>
      <w:r>
        <w:rPr/>
        <w:t>units</w:t>
      </w:r>
      <w:r>
        <w:rPr>
          <w:spacing w:val="-2"/>
        </w:rPr>
        <w:t> </w:t>
      </w:r>
      <w:r>
        <w:rPr/>
        <w:t>had higher</w:t>
      </w:r>
      <w:r>
        <w:rPr>
          <w:spacing w:val="-1"/>
        </w:rPr>
        <w:t> </w:t>
      </w:r>
      <w:r>
        <w:rPr/>
        <w:t>vacancy rates</w:t>
      </w:r>
      <w:r>
        <w:rPr>
          <w:spacing w:val="-2"/>
        </w:rPr>
        <w:t> </w:t>
      </w:r>
      <w:r>
        <w:rPr/>
        <w:t>due to challenges</w:t>
      </w:r>
      <w:r>
        <w:rPr>
          <w:spacing w:val="-2"/>
        </w:rPr>
        <w:t> </w:t>
      </w:r>
      <w:r>
        <w:rPr/>
        <w:t>with finding roommates</w:t>
      </w:r>
      <w:r>
        <w:rPr>
          <w:spacing w:val="-14"/>
        </w:rPr>
        <w:t> </w:t>
      </w:r>
      <w:r>
        <w:rPr/>
        <w:t>and</w:t>
      </w:r>
      <w:r>
        <w:rPr>
          <w:spacing w:val="-14"/>
        </w:rPr>
        <w:t> </w:t>
      </w:r>
      <w:r>
        <w:rPr/>
        <w:t>tenant</w:t>
      </w:r>
      <w:r>
        <w:rPr>
          <w:spacing w:val="-14"/>
        </w:rPr>
        <w:t> </w:t>
      </w:r>
      <w:r>
        <w:rPr/>
        <w:t>concerns</w:t>
      </w:r>
      <w:r>
        <w:rPr>
          <w:spacing w:val="-13"/>
        </w:rPr>
        <w:t> </w:t>
      </w:r>
      <w:r>
        <w:rPr/>
        <w:t>around</w:t>
      </w:r>
      <w:r>
        <w:rPr>
          <w:spacing w:val="-14"/>
        </w:rPr>
        <w:t> </w:t>
      </w:r>
      <w:r>
        <w:rPr/>
        <w:t>exposure</w:t>
      </w:r>
      <w:r>
        <w:rPr>
          <w:spacing w:val="-14"/>
        </w:rPr>
        <w:t> </w:t>
      </w:r>
      <w:r>
        <w:rPr/>
        <w:t>to</w:t>
      </w:r>
      <w:r>
        <w:rPr>
          <w:spacing w:val="-14"/>
        </w:rPr>
        <w:t> </w:t>
      </w:r>
      <w:r>
        <w:rPr/>
        <w:t>a</w:t>
      </w:r>
      <w:r>
        <w:rPr>
          <w:spacing w:val="-13"/>
        </w:rPr>
        <w:t> </w:t>
      </w:r>
      <w:r>
        <w:rPr/>
        <w:t>larger</w:t>
      </w:r>
      <w:r>
        <w:rPr>
          <w:spacing w:val="-14"/>
        </w:rPr>
        <w:t> </w:t>
      </w:r>
      <w:r>
        <w:rPr/>
        <w:t>number</w:t>
      </w:r>
      <w:r>
        <w:rPr>
          <w:spacing w:val="-14"/>
        </w:rPr>
        <w:t> </w:t>
      </w:r>
      <w:r>
        <w:rPr/>
        <w:t>of</w:t>
      </w:r>
      <w:r>
        <w:rPr>
          <w:spacing w:val="-14"/>
        </w:rPr>
        <w:t> </w:t>
      </w:r>
      <w:r>
        <w:rPr/>
        <w:t>roommates</w:t>
      </w:r>
      <w:r>
        <w:rPr>
          <w:spacing w:val="-13"/>
        </w:rPr>
        <w:t> </w:t>
      </w:r>
      <w:r>
        <w:rPr/>
        <w:t>during</w:t>
      </w:r>
      <w:r>
        <w:rPr>
          <w:spacing w:val="-14"/>
        </w:rPr>
        <w:t> </w:t>
      </w:r>
      <w:r>
        <w:rPr/>
        <w:t>the pandemic.</w:t>
      </w:r>
      <w:r>
        <w:rPr>
          <w:spacing w:val="40"/>
        </w:rPr>
        <w:t> </w:t>
      </w:r>
      <w:r>
        <w:rPr/>
        <w:t>Conversely, studio and one-bedroom units reported the lowest vacancy rates, at</w:t>
      </w:r>
    </w:p>
    <w:p>
      <w:pPr>
        <w:pStyle w:val="BodyText"/>
        <w:spacing w:line="288" w:lineRule="auto" w:before="5"/>
        <w:ind w:left="1008" w:right="1001"/>
      </w:pPr>
      <w:r>
        <w:rPr/>
        <w:t>0.0</w:t>
      </w:r>
      <w:r>
        <w:rPr>
          <w:spacing w:val="-11"/>
        </w:rPr>
        <w:t> </w:t>
      </w:r>
      <w:r>
        <w:rPr/>
        <w:t>and</w:t>
      </w:r>
      <w:r>
        <w:rPr>
          <w:spacing w:val="-11"/>
        </w:rPr>
        <w:t> </w:t>
      </w:r>
      <w:r>
        <w:rPr/>
        <w:t>0.1</w:t>
      </w:r>
      <w:r>
        <w:rPr>
          <w:spacing w:val="-11"/>
        </w:rPr>
        <w:t> </w:t>
      </w:r>
      <w:r>
        <w:rPr/>
        <w:t>percent,</w:t>
      </w:r>
      <w:r>
        <w:rPr>
          <w:spacing w:val="-11"/>
        </w:rPr>
        <w:t> </w:t>
      </w:r>
      <w:r>
        <w:rPr/>
        <w:t>respectively.</w:t>
      </w:r>
      <w:r>
        <w:rPr>
          <w:spacing w:val="35"/>
        </w:rPr>
        <w:t> </w:t>
      </w:r>
      <w:r>
        <w:rPr/>
        <w:t>The</w:t>
      </w:r>
      <w:r>
        <w:rPr>
          <w:spacing w:val="-11"/>
        </w:rPr>
        <w:t> </w:t>
      </w:r>
      <w:r>
        <w:rPr/>
        <w:t>vacancy</w:t>
      </w:r>
      <w:r>
        <w:rPr>
          <w:spacing w:val="-11"/>
        </w:rPr>
        <w:t> </w:t>
      </w:r>
      <w:r>
        <w:rPr/>
        <w:t>rate</w:t>
      </w:r>
      <w:r>
        <w:rPr>
          <w:spacing w:val="-12"/>
        </w:rPr>
        <w:t> </w:t>
      </w:r>
      <w:r>
        <w:rPr/>
        <w:t>for</w:t>
      </w:r>
      <w:r>
        <w:rPr>
          <w:spacing w:val="-11"/>
        </w:rPr>
        <w:t> </w:t>
      </w:r>
      <w:r>
        <w:rPr/>
        <w:t>two-bedroom</w:t>
      </w:r>
      <w:r>
        <w:rPr>
          <w:spacing w:val="-11"/>
        </w:rPr>
        <w:t> </w:t>
      </w:r>
      <w:r>
        <w:rPr/>
        <w:t>units</w:t>
      </w:r>
      <w:r>
        <w:rPr>
          <w:spacing w:val="-11"/>
        </w:rPr>
        <w:t> </w:t>
      </w:r>
      <w:r>
        <w:rPr/>
        <w:t>also</w:t>
      </w:r>
      <w:r>
        <w:rPr>
          <w:spacing w:val="-11"/>
        </w:rPr>
        <w:t> </w:t>
      </w:r>
      <w:r>
        <w:rPr/>
        <w:t>was</w:t>
      </w:r>
      <w:r>
        <w:rPr>
          <w:spacing w:val="-11"/>
        </w:rPr>
        <w:t> </w:t>
      </w:r>
      <w:r>
        <w:rPr/>
        <w:t>relatively low, at just 0.5 percent.</w:t>
      </w:r>
    </w:p>
    <w:p>
      <w:pPr>
        <w:pStyle w:val="BodyText"/>
        <w:spacing w:before="52"/>
      </w:pPr>
    </w:p>
    <w:p>
      <w:pPr>
        <w:tabs>
          <w:tab w:pos="9511" w:val="left" w:leader="none"/>
        </w:tabs>
        <w:spacing w:before="0"/>
        <w:ind w:left="1008" w:right="0" w:firstLine="0"/>
        <w:jc w:val="left"/>
        <w:rPr>
          <w:i/>
          <w:sz w:val="22"/>
        </w:rPr>
      </w:pPr>
      <w:r>
        <w:rPr>
          <w:i/>
          <w:sz w:val="22"/>
          <w:u w:val="single"/>
        </w:rPr>
        <w:t>Table</w:t>
      </w:r>
      <w:r>
        <w:rPr>
          <w:i/>
          <w:spacing w:val="-5"/>
          <w:sz w:val="22"/>
          <w:u w:val="single"/>
        </w:rPr>
        <w:t> </w:t>
      </w:r>
      <w:r>
        <w:rPr>
          <w:i/>
          <w:sz w:val="22"/>
          <w:u w:val="single"/>
        </w:rPr>
        <w:t>1:</w:t>
      </w:r>
      <w:r>
        <w:rPr>
          <w:i/>
          <w:spacing w:val="45"/>
          <w:sz w:val="22"/>
          <w:u w:val="single"/>
        </w:rPr>
        <w:t> </w:t>
      </w:r>
      <w:r>
        <w:rPr>
          <w:i/>
          <w:sz w:val="22"/>
          <w:u w:val="single"/>
        </w:rPr>
        <w:t>Vacancy</w:t>
      </w:r>
      <w:r>
        <w:rPr>
          <w:i/>
          <w:spacing w:val="-5"/>
          <w:sz w:val="22"/>
          <w:u w:val="single"/>
        </w:rPr>
        <w:t> </w:t>
      </w:r>
      <w:r>
        <w:rPr>
          <w:i/>
          <w:sz w:val="22"/>
          <w:u w:val="single"/>
        </w:rPr>
        <w:t>Rate</w:t>
      </w:r>
      <w:r>
        <w:rPr>
          <w:i/>
          <w:spacing w:val="-6"/>
          <w:sz w:val="22"/>
          <w:u w:val="single"/>
        </w:rPr>
        <w:t> </w:t>
      </w:r>
      <w:r>
        <w:rPr>
          <w:i/>
          <w:sz w:val="22"/>
          <w:u w:val="single"/>
        </w:rPr>
        <w:t>for</w:t>
      </w:r>
      <w:r>
        <w:rPr>
          <w:i/>
          <w:spacing w:val="-8"/>
          <w:sz w:val="22"/>
          <w:u w:val="single"/>
        </w:rPr>
        <w:t> </w:t>
      </w:r>
      <w:r>
        <w:rPr>
          <w:i/>
          <w:sz w:val="22"/>
          <w:u w:val="single"/>
        </w:rPr>
        <w:t>Unit</w:t>
      </w:r>
      <w:r>
        <w:rPr>
          <w:i/>
          <w:spacing w:val="-5"/>
          <w:sz w:val="22"/>
          <w:u w:val="single"/>
        </w:rPr>
        <w:t> </w:t>
      </w:r>
      <w:r>
        <w:rPr>
          <w:i/>
          <w:sz w:val="22"/>
          <w:u w:val="single"/>
        </w:rPr>
        <w:t>Leases</w:t>
      </w:r>
      <w:r>
        <w:rPr>
          <w:i/>
          <w:spacing w:val="-5"/>
          <w:sz w:val="22"/>
          <w:u w:val="single"/>
        </w:rPr>
        <w:t> </w:t>
      </w:r>
      <w:r>
        <w:rPr>
          <w:i/>
          <w:sz w:val="22"/>
          <w:u w:val="single"/>
        </w:rPr>
        <w:t>by</w:t>
      </w:r>
      <w:r>
        <w:rPr>
          <w:i/>
          <w:spacing w:val="-5"/>
          <w:sz w:val="22"/>
          <w:u w:val="single"/>
        </w:rPr>
        <w:t> </w:t>
      </w:r>
      <w:r>
        <w:rPr>
          <w:i/>
          <w:sz w:val="22"/>
          <w:u w:val="single"/>
        </w:rPr>
        <w:t>Unit</w:t>
      </w:r>
      <w:r>
        <w:rPr>
          <w:i/>
          <w:spacing w:val="-7"/>
          <w:sz w:val="22"/>
          <w:u w:val="single"/>
        </w:rPr>
        <w:t> </w:t>
      </w:r>
      <w:r>
        <w:rPr>
          <w:i/>
          <w:spacing w:val="-4"/>
          <w:sz w:val="22"/>
          <w:u w:val="single"/>
        </w:rPr>
        <w:t>Size</w:t>
      </w:r>
      <w:r>
        <w:rPr>
          <w:i/>
          <w:sz w:val="22"/>
          <w:u w:val="single"/>
        </w:rPr>
        <w:tab/>
      </w:r>
    </w:p>
    <w:p>
      <w:pPr>
        <w:pStyle w:val="BodyText"/>
        <w:spacing w:before="73"/>
        <w:rPr>
          <w:i/>
          <w:sz w:val="16"/>
        </w:rPr>
      </w:pPr>
    </w:p>
    <w:p>
      <w:pPr>
        <w:spacing w:before="0" w:after="19"/>
        <w:ind w:left="182" w:right="1930" w:firstLine="0"/>
        <w:jc w:val="center"/>
        <w:rPr>
          <w:rFonts w:ascii="Arial"/>
          <w:b/>
          <w:sz w:val="16"/>
        </w:rPr>
      </w:pPr>
      <w:r>
        <w:rPr>
          <w:rFonts w:ascii="Arial"/>
          <w:b/>
          <w:sz w:val="16"/>
        </w:rPr>
        <w:t>2021</w:t>
      </w:r>
      <w:r>
        <w:rPr>
          <w:rFonts w:ascii="Arial"/>
          <w:b/>
          <w:spacing w:val="14"/>
          <w:sz w:val="16"/>
        </w:rPr>
        <w:t> </w:t>
      </w:r>
      <w:r>
        <w:rPr>
          <w:rFonts w:ascii="Arial"/>
          <w:b/>
          <w:sz w:val="16"/>
        </w:rPr>
        <w:t>Survey</w:t>
      </w:r>
      <w:r>
        <w:rPr>
          <w:rFonts w:ascii="Arial"/>
          <w:b/>
          <w:spacing w:val="15"/>
          <w:sz w:val="16"/>
        </w:rPr>
        <w:t> </w:t>
      </w:r>
      <w:r>
        <w:rPr>
          <w:rFonts w:ascii="Arial"/>
          <w:b/>
          <w:spacing w:val="-2"/>
          <w:sz w:val="16"/>
        </w:rPr>
        <w:t>Results</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90"/>
        <w:gridCol w:w="165"/>
        <w:gridCol w:w="676"/>
        <w:gridCol w:w="165"/>
        <w:gridCol w:w="676"/>
        <w:gridCol w:w="166"/>
        <w:gridCol w:w="676"/>
        <w:gridCol w:w="165"/>
        <w:gridCol w:w="676"/>
        <w:gridCol w:w="165"/>
        <w:gridCol w:w="780"/>
        <w:gridCol w:w="165"/>
        <w:gridCol w:w="855"/>
        <w:gridCol w:w="165"/>
        <w:gridCol w:w="855"/>
      </w:tblGrid>
      <w:tr>
        <w:trPr>
          <w:trHeight w:val="210" w:hRule="atLeast"/>
        </w:trPr>
        <w:tc>
          <w:tcPr>
            <w:tcW w:w="2972" w:type="dxa"/>
            <w:gridSpan w:val="5"/>
            <w:tcBorders>
              <w:top w:val="single" w:sz="6" w:space="0" w:color="000000"/>
            </w:tcBorders>
          </w:tcPr>
          <w:p>
            <w:pPr>
              <w:pStyle w:val="TableParagraph"/>
              <w:rPr>
                <w:rFonts w:ascii="Times New Roman"/>
                <w:sz w:val="14"/>
              </w:rPr>
            </w:pPr>
          </w:p>
        </w:tc>
        <w:tc>
          <w:tcPr>
            <w:tcW w:w="1683" w:type="dxa"/>
            <w:gridSpan w:val="4"/>
            <w:tcBorders>
              <w:top w:val="single" w:sz="6" w:space="0" w:color="000000"/>
            </w:tcBorders>
          </w:tcPr>
          <w:p>
            <w:pPr>
              <w:pStyle w:val="TableParagraph"/>
              <w:spacing w:line="175" w:lineRule="exact" w:before="15"/>
              <w:ind w:left="268"/>
              <w:rPr>
                <w:sz w:val="16"/>
              </w:rPr>
            </w:pPr>
            <w:r>
              <w:rPr>
                <w:spacing w:val="-4"/>
                <w:w w:val="105"/>
                <w:sz w:val="16"/>
              </w:rPr>
              <w:t>Number</w:t>
            </w:r>
            <w:r>
              <w:rPr>
                <w:spacing w:val="-8"/>
                <w:w w:val="105"/>
                <w:sz w:val="16"/>
              </w:rPr>
              <w:t> </w:t>
            </w:r>
            <w:r>
              <w:rPr>
                <w:spacing w:val="-4"/>
                <w:w w:val="105"/>
                <w:sz w:val="16"/>
              </w:rPr>
              <w:t>of</w:t>
            </w:r>
            <w:r>
              <w:rPr>
                <w:spacing w:val="-7"/>
                <w:w w:val="105"/>
                <w:sz w:val="16"/>
              </w:rPr>
              <w:t> </w:t>
            </w:r>
            <w:r>
              <w:rPr>
                <w:spacing w:val="-4"/>
                <w:w w:val="105"/>
                <w:sz w:val="16"/>
              </w:rPr>
              <w:t>Vacant</w:t>
            </w:r>
          </w:p>
        </w:tc>
        <w:tc>
          <w:tcPr>
            <w:tcW w:w="945" w:type="dxa"/>
            <w:gridSpan w:val="2"/>
            <w:tcBorders>
              <w:top w:val="single" w:sz="6" w:space="0" w:color="000000"/>
            </w:tcBorders>
          </w:tcPr>
          <w:p>
            <w:pPr>
              <w:pStyle w:val="TableParagraph"/>
              <w:rPr>
                <w:rFonts w:ascii="Times New Roman"/>
                <w:sz w:val="14"/>
              </w:rPr>
            </w:pPr>
          </w:p>
        </w:tc>
        <w:tc>
          <w:tcPr>
            <w:tcW w:w="165" w:type="dxa"/>
          </w:tcPr>
          <w:p>
            <w:pPr>
              <w:pStyle w:val="TableParagraph"/>
              <w:rPr>
                <w:rFonts w:ascii="Times New Roman"/>
                <w:sz w:val="14"/>
              </w:rPr>
            </w:pPr>
          </w:p>
        </w:tc>
        <w:tc>
          <w:tcPr>
            <w:tcW w:w="855" w:type="dxa"/>
            <w:tcBorders>
              <w:bottom w:val="single" w:sz="6" w:space="0" w:color="000000"/>
            </w:tcBorders>
          </w:tcPr>
          <w:p>
            <w:pPr>
              <w:pStyle w:val="TableParagraph"/>
              <w:spacing w:line="175" w:lineRule="exact" w:before="15"/>
              <w:ind w:left="249"/>
              <w:rPr>
                <w:rFonts w:ascii="Arial"/>
                <w:b/>
                <w:sz w:val="16"/>
              </w:rPr>
            </w:pPr>
            <w:r>
              <w:rPr>
                <w:rFonts w:ascii="Arial"/>
                <w:b/>
                <w:spacing w:val="-4"/>
                <w:w w:val="105"/>
                <w:sz w:val="16"/>
              </w:rPr>
              <w:t>2020</w:t>
            </w:r>
          </w:p>
        </w:tc>
        <w:tc>
          <w:tcPr>
            <w:tcW w:w="165" w:type="dxa"/>
          </w:tcPr>
          <w:p>
            <w:pPr>
              <w:pStyle w:val="TableParagraph"/>
              <w:rPr>
                <w:rFonts w:ascii="Times New Roman"/>
                <w:sz w:val="14"/>
              </w:rPr>
            </w:pPr>
          </w:p>
        </w:tc>
        <w:tc>
          <w:tcPr>
            <w:tcW w:w="855" w:type="dxa"/>
            <w:tcBorders>
              <w:bottom w:val="single" w:sz="6" w:space="0" w:color="000000"/>
            </w:tcBorders>
          </w:tcPr>
          <w:p>
            <w:pPr>
              <w:pStyle w:val="TableParagraph"/>
              <w:spacing w:line="175" w:lineRule="exact" w:before="15"/>
              <w:ind w:left="249"/>
              <w:rPr>
                <w:rFonts w:ascii="Arial"/>
                <w:b/>
                <w:sz w:val="16"/>
              </w:rPr>
            </w:pPr>
            <w:r>
              <w:rPr>
                <w:rFonts w:ascii="Arial"/>
                <w:b/>
                <w:spacing w:val="-4"/>
                <w:w w:val="105"/>
                <w:sz w:val="16"/>
              </w:rPr>
              <w:t>2019</w:t>
            </w:r>
          </w:p>
        </w:tc>
      </w:tr>
      <w:tr>
        <w:trPr>
          <w:trHeight w:val="217" w:hRule="atLeast"/>
        </w:trPr>
        <w:tc>
          <w:tcPr>
            <w:tcW w:w="2972" w:type="dxa"/>
            <w:gridSpan w:val="5"/>
          </w:tcPr>
          <w:p>
            <w:pPr>
              <w:pStyle w:val="TableParagraph"/>
              <w:spacing w:line="182" w:lineRule="exact" w:before="15"/>
              <w:ind w:left="1560"/>
              <w:rPr>
                <w:sz w:val="16"/>
              </w:rPr>
            </w:pPr>
            <w:r>
              <w:rPr>
                <w:sz w:val="16"/>
              </w:rPr>
              <w:t>Units</w:t>
            </w:r>
            <w:r>
              <w:rPr>
                <w:spacing w:val="-6"/>
                <w:sz w:val="16"/>
              </w:rPr>
              <w:t> </w:t>
            </w:r>
            <w:r>
              <w:rPr>
                <w:sz w:val="16"/>
              </w:rPr>
              <w:t>Reported</w:t>
            </w:r>
            <w:r>
              <w:rPr>
                <w:spacing w:val="-11"/>
                <w:sz w:val="16"/>
              </w:rPr>
              <w:t> </w:t>
            </w:r>
            <w:r>
              <w:rPr>
                <w:spacing w:val="-5"/>
                <w:sz w:val="16"/>
              </w:rPr>
              <w:t>(a)</w:t>
            </w:r>
          </w:p>
        </w:tc>
        <w:tc>
          <w:tcPr>
            <w:tcW w:w="1683" w:type="dxa"/>
            <w:gridSpan w:val="4"/>
          </w:tcPr>
          <w:p>
            <w:pPr>
              <w:pStyle w:val="TableParagraph"/>
              <w:spacing w:line="182" w:lineRule="exact" w:before="15"/>
              <w:ind w:left="268"/>
              <w:rPr>
                <w:sz w:val="16"/>
              </w:rPr>
            </w:pPr>
            <w:r>
              <w:rPr>
                <w:sz w:val="16"/>
              </w:rPr>
              <w:t>Units</w:t>
            </w:r>
            <w:r>
              <w:rPr>
                <w:spacing w:val="-6"/>
                <w:sz w:val="16"/>
              </w:rPr>
              <w:t> </w:t>
            </w:r>
            <w:r>
              <w:rPr>
                <w:sz w:val="16"/>
              </w:rPr>
              <w:t>Reported</w:t>
            </w:r>
            <w:r>
              <w:rPr>
                <w:spacing w:val="-11"/>
                <w:sz w:val="16"/>
              </w:rPr>
              <w:t> </w:t>
            </w:r>
            <w:r>
              <w:rPr>
                <w:spacing w:val="-5"/>
                <w:sz w:val="16"/>
              </w:rPr>
              <w:t>(b)</w:t>
            </w:r>
          </w:p>
        </w:tc>
        <w:tc>
          <w:tcPr>
            <w:tcW w:w="945" w:type="dxa"/>
            <w:gridSpan w:val="2"/>
          </w:tcPr>
          <w:p>
            <w:pPr>
              <w:pStyle w:val="TableParagraph"/>
              <w:spacing w:line="182" w:lineRule="exact" w:before="15"/>
              <w:ind w:left="219"/>
              <w:rPr>
                <w:sz w:val="16"/>
              </w:rPr>
            </w:pPr>
            <w:r>
              <w:rPr>
                <w:spacing w:val="-2"/>
                <w:w w:val="105"/>
                <w:sz w:val="16"/>
              </w:rPr>
              <w:t>Vacancy</w:t>
            </w:r>
          </w:p>
        </w:tc>
        <w:tc>
          <w:tcPr>
            <w:tcW w:w="165" w:type="dxa"/>
          </w:tcPr>
          <w:p>
            <w:pPr>
              <w:pStyle w:val="TableParagraph"/>
              <w:rPr>
                <w:rFonts w:ascii="Times New Roman"/>
                <w:sz w:val="14"/>
              </w:rPr>
            </w:pPr>
          </w:p>
        </w:tc>
        <w:tc>
          <w:tcPr>
            <w:tcW w:w="855" w:type="dxa"/>
            <w:tcBorders>
              <w:top w:val="single" w:sz="6" w:space="0" w:color="000000"/>
            </w:tcBorders>
          </w:tcPr>
          <w:p>
            <w:pPr>
              <w:pStyle w:val="TableParagraph"/>
              <w:spacing w:line="182" w:lineRule="exact" w:before="15"/>
              <w:ind w:right="102"/>
              <w:jc w:val="right"/>
              <w:rPr>
                <w:sz w:val="16"/>
              </w:rPr>
            </w:pPr>
            <w:r>
              <w:rPr>
                <w:spacing w:val="-2"/>
                <w:w w:val="105"/>
                <w:sz w:val="16"/>
              </w:rPr>
              <w:t>Vacancy</w:t>
            </w:r>
          </w:p>
        </w:tc>
        <w:tc>
          <w:tcPr>
            <w:tcW w:w="165" w:type="dxa"/>
          </w:tcPr>
          <w:p>
            <w:pPr>
              <w:pStyle w:val="TableParagraph"/>
              <w:rPr>
                <w:rFonts w:ascii="Times New Roman"/>
                <w:sz w:val="14"/>
              </w:rPr>
            </w:pPr>
          </w:p>
        </w:tc>
        <w:tc>
          <w:tcPr>
            <w:tcW w:w="855" w:type="dxa"/>
            <w:tcBorders>
              <w:top w:val="single" w:sz="6" w:space="0" w:color="000000"/>
            </w:tcBorders>
          </w:tcPr>
          <w:p>
            <w:pPr>
              <w:pStyle w:val="TableParagraph"/>
              <w:spacing w:line="182" w:lineRule="exact" w:before="15"/>
              <w:ind w:right="101"/>
              <w:jc w:val="right"/>
              <w:rPr>
                <w:sz w:val="16"/>
              </w:rPr>
            </w:pPr>
            <w:r>
              <w:rPr>
                <w:spacing w:val="-2"/>
                <w:w w:val="105"/>
                <w:sz w:val="16"/>
              </w:rPr>
              <w:t>Vacancy</w:t>
            </w:r>
          </w:p>
        </w:tc>
      </w:tr>
      <w:tr>
        <w:trPr>
          <w:trHeight w:val="202" w:hRule="atLeast"/>
        </w:trPr>
        <w:tc>
          <w:tcPr>
            <w:tcW w:w="1290" w:type="dxa"/>
            <w:tcBorders>
              <w:bottom w:val="single" w:sz="6" w:space="0" w:color="000000"/>
            </w:tcBorders>
          </w:tcPr>
          <w:p>
            <w:pPr>
              <w:pStyle w:val="TableParagraph"/>
              <w:spacing w:line="175" w:lineRule="exact" w:before="15"/>
              <w:ind w:left="44"/>
              <w:rPr>
                <w:rFonts w:ascii="Arial"/>
                <w:b/>
                <w:sz w:val="16"/>
              </w:rPr>
            </w:pPr>
            <w:r>
              <w:rPr>
                <w:rFonts w:ascii="Arial"/>
                <w:b/>
                <w:spacing w:val="-4"/>
                <w:w w:val="105"/>
                <w:sz w:val="16"/>
              </w:rPr>
              <w:t>Unit</w:t>
            </w:r>
            <w:r>
              <w:rPr>
                <w:rFonts w:ascii="Arial"/>
                <w:b/>
                <w:spacing w:val="-1"/>
                <w:sz w:val="16"/>
              </w:rPr>
              <w:t> </w:t>
            </w:r>
            <w:r>
              <w:rPr>
                <w:rFonts w:ascii="Arial"/>
                <w:b/>
                <w:spacing w:val="-4"/>
                <w:w w:val="105"/>
                <w:sz w:val="16"/>
              </w:rPr>
              <w:t>Size</w:t>
            </w:r>
          </w:p>
        </w:tc>
        <w:tc>
          <w:tcPr>
            <w:tcW w:w="165" w:type="dxa"/>
          </w:tcPr>
          <w:p>
            <w:pPr>
              <w:pStyle w:val="TableParagraph"/>
              <w:rPr>
                <w:rFonts w:ascii="Times New Roman"/>
                <w:sz w:val="14"/>
              </w:rPr>
            </w:pPr>
          </w:p>
        </w:tc>
        <w:tc>
          <w:tcPr>
            <w:tcW w:w="676" w:type="dxa"/>
            <w:tcBorders>
              <w:top w:val="single" w:sz="6" w:space="0" w:color="000000"/>
              <w:bottom w:val="single" w:sz="6" w:space="0" w:color="000000"/>
            </w:tcBorders>
          </w:tcPr>
          <w:p>
            <w:pPr>
              <w:pStyle w:val="TableParagraph"/>
              <w:spacing w:line="175" w:lineRule="exact" w:before="15"/>
              <w:ind w:right="65"/>
              <w:jc w:val="right"/>
              <w:rPr>
                <w:sz w:val="16"/>
              </w:rPr>
            </w:pPr>
            <w:r>
              <w:rPr>
                <w:spacing w:val="-2"/>
                <w:w w:val="105"/>
                <w:sz w:val="16"/>
              </w:rPr>
              <w:t>Number</w:t>
            </w:r>
          </w:p>
        </w:tc>
        <w:tc>
          <w:tcPr>
            <w:tcW w:w="165" w:type="dxa"/>
            <w:tcBorders>
              <w:top w:val="single" w:sz="6" w:space="0" w:color="000000"/>
            </w:tcBorders>
          </w:tcPr>
          <w:p>
            <w:pPr>
              <w:pStyle w:val="TableParagraph"/>
              <w:rPr>
                <w:rFonts w:ascii="Times New Roman"/>
                <w:sz w:val="14"/>
              </w:rPr>
            </w:pPr>
          </w:p>
        </w:tc>
        <w:tc>
          <w:tcPr>
            <w:tcW w:w="676" w:type="dxa"/>
            <w:tcBorders>
              <w:top w:val="single" w:sz="6" w:space="0" w:color="000000"/>
              <w:bottom w:val="single" w:sz="6" w:space="0" w:color="000000"/>
            </w:tcBorders>
          </w:tcPr>
          <w:p>
            <w:pPr>
              <w:pStyle w:val="TableParagraph"/>
              <w:spacing w:line="175" w:lineRule="exact" w:before="15"/>
              <w:ind w:right="60"/>
              <w:jc w:val="right"/>
              <w:rPr>
                <w:sz w:val="16"/>
              </w:rPr>
            </w:pPr>
            <w:r>
              <w:rPr>
                <w:spacing w:val="-2"/>
                <w:w w:val="105"/>
                <w:sz w:val="16"/>
              </w:rPr>
              <w:t>Percent</w:t>
            </w:r>
          </w:p>
        </w:tc>
        <w:tc>
          <w:tcPr>
            <w:tcW w:w="166" w:type="dxa"/>
          </w:tcPr>
          <w:p>
            <w:pPr>
              <w:pStyle w:val="TableParagraph"/>
              <w:rPr>
                <w:rFonts w:ascii="Times New Roman"/>
                <w:sz w:val="14"/>
              </w:rPr>
            </w:pPr>
          </w:p>
        </w:tc>
        <w:tc>
          <w:tcPr>
            <w:tcW w:w="676" w:type="dxa"/>
            <w:tcBorders>
              <w:top w:val="single" w:sz="6" w:space="0" w:color="000000"/>
              <w:bottom w:val="single" w:sz="6" w:space="0" w:color="000000"/>
            </w:tcBorders>
          </w:tcPr>
          <w:p>
            <w:pPr>
              <w:pStyle w:val="TableParagraph"/>
              <w:spacing w:line="175" w:lineRule="exact" w:before="15"/>
              <w:ind w:right="68"/>
              <w:jc w:val="right"/>
              <w:rPr>
                <w:sz w:val="16"/>
              </w:rPr>
            </w:pPr>
            <w:r>
              <w:rPr>
                <w:spacing w:val="-2"/>
                <w:w w:val="105"/>
                <w:sz w:val="16"/>
              </w:rPr>
              <w:t>Number</w:t>
            </w:r>
          </w:p>
        </w:tc>
        <w:tc>
          <w:tcPr>
            <w:tcW w:w="165" w:type="dxa"/>
            <w:tcBorders>
              <w:top w:val="single" w:sz="6" w:space="0" w:color="000000"/>
            </w:tcBorders>
          </w:tcPr>
          <w:p>
            <w:pPr>
              <w:pStyle w:val="TableParagraph"/>
              <w:rPr>
                <w:rFonts w:ascii="Times New Roman"/>
                <w:sz w:val="14"/>
              </w:rPr>
            </w:pPr>
          </w:p>
        </w:tc>
        <w:tc>
          <w:tcPr>
            <w:tcW w:w="676" w:type="dxa"/>
            <w:tcBorders>
              <w:top w:val="single" w:sz="6" w:space="0" w:color="000000"/>
              <w:bottom w:val="single" w:sz="6" w:space="0" w:color="000000"/>
            </w:tcBorders>
          </w:tcPr>
          <w:p>
            <w:pPr>
              <w:pStyle w:val="TableParagraph"/>
              <w:spacing w:line="175" w:lineRule="exact" w:before="15"/>
              <w:ind w:right="63"/>
              <w:jc w:val="right"/>
              <w:rPr>
                <w:sz w:val="16"/>
              </w:rPr>
            </w:pPr>
            <w:r>
              <w:rPr>
                <w:spacing w:val="-2"/>
                <w:w w:val="105"/>
                <w:sz w:val="16"/>
              </w:rPr>
              <w:t>Percent</w:t>
            </w:r>
          </w:p>
        </w:tc>
        <w:tc>
          <w:tcPr>
            <w:tcW w:w="165" w:type="dxa"/>
          </w:tcPr>
          <w:p>
            <w:pPr>
              <w:pStyle w:val="TableParagraph"/>
              <w:rPr>
                <w:rFonts w:ascii="Times New Roman"/>
                <w:sz w:val="14"/>
              </w:rPr>
            </w:pPr>
          </w:p>
        </w:tc>
        <w:tc>
          <w:tcPr>
            <w:tcW w:w="780" w:type="dxa"/>
            <w:tcBorders>
              <w:bottom w:val="single" w:sz="6" w:space="0" w:color="000000"/>
            </w:tcBorders>
          </w:tcPr>
          <w:p>
            <w:pPr>
              <w:pStyle w:val="TableParagraph"/>
              <w:spacing w:line="175" w:lineRule="exact" w:before="15"/>
              <w:ind w:left="99"/>
              <w:rPr>
                <w:sz w:val="16"/>
              </w:rPr>
            </w:pPr>
            <w:r>
              <w:rPr>
                <w:spacing w:val="-2"/>
                <w:sz w:val="16"/>
              </w:rPr>
              <w:t>Rate</w:t>
            </w:r>
            <w:r>
              <w:rPr>
                <w:spacing w:val="-4"/>
                <w:sz w:val="16"/>
              </w:rPr>
              <w:t> </w:t>
            </w:r>
            <w:r>
              <w:rPr>
                <w:spacing w:val="-5"/>
                <w:sz w:val="16"/>
              </w:rPr>
              <w:t>(c)</w:t>
            </w:r>
          </w:p>
        </w:tc>
        <w:tc>
          <w:tcPr>
            <w:tcW w:w="165" w:type="dxa"/>
          </w:tcPr>
          <w:p>
            <w:pPr>
              <w:pStyle w:val="TableParagraph"/>
              <w:rPr>
                <w:rFonts w:ascii="Times New Roman"/>
                <w:sz w:val="14"/>
              </w:rPr>
            </w:pPr>
          </w:p>
        </w:tc>
        <w:tc>
          <w:tcPr>
            <w:tcW w:w="855" w:type="dxa"/>
            <w:tcBorders>
              <w:bottom w:val="single" w:sz="6" w:space="0" w:color="000000"/>
            </w:tcBorders>
          </w:tcPr>
          <w:p>
            <w:pPr>
              <w:pStyle w:val="TableParagraph"/>
              <w:spacing w:line="175" w:lineRule="exact" w:before="15"/>
              <w:ind w:right="144"/>
              <w:jc w:val="right"/>
              <w:rPr>
                <w:sz w:val="16"/>
              </w:rPr>
            </w:pPr>
            <w:r>
              <w:rPr>
                <w:spacing w:val="-2"/>
                <w:sz w:val="16"/>
              </w:rPr>
              <w:t>Rate</w:t>
            </w:r>
            <w:r>
              <w:rPr>
                <w:spacing w:val="-4"/>
                <w:sz w:val="16"/>
              </w:rPr>
              <w:t> </w:t>
            </w:r>
            <w:r>
              <w:rPr>
                <w:spacing w:val="-5"/>
                <w:sz w:val="16"/>
              </w:rPr>
              <w:t>(c)</w:t>
            </w:r>
          </w:p>
        </w:tc>
        <w:tc>
          <w:tcPr>
            <w:tcW w:w="165" w:type="dxa"/>
          </w:tcPr>
          <w:p>
            <w:pPr>
              <w:pStyle w:val="TableParagraph"/>
              <w:rPr>
                <w:rFonts w:ascii="Times New Roman"/>
                <w:sz w:val="14"/>
              </w:rPr>
            </w:pPr>
          </w:p>
        </w:tc>
        <w:tc>
          <w:tcPr>
            <w:tcW w:w="855" w:type="dxa"/>
            <w:tcBorders>
              <w:bottom w:val="single" w:sz="6" w:space="0" w:color="000000"/>
            </w:tcBorders>
          </w:tcPr>
          <w:p>
            <w:pPr>
              <w:pStyle w:val="TableParagraph"/>
              <w:spacing w:line="175" w:lineRule="exact" w:before="15"/>
              <w:ind w:left="129"/>
              <w:rPr>
                <w:sz w:val="16"/>
              </w:rPr>
            </w:pPr>
            <w:r>
              <w:rPr>
                <w:spacing w:val="-2"/>
                <w:sz w:val="16"/>
              </w:rPr>
              <w:t>Rate</w:t>
            </w:r>
            <w:r>
              <w:rPr>
                <w:spacing w:val="-4"/>
                <w:sz w:val="16"/>
              </w:rPr>
              <w:t> </w:t>
            </w:r>
            <w:r>
              <w:rPr>
                <w:spacing w:val="-5"/>
                <w:sz w:val="16"/>
              </w:rPr>
              <w:t>(c)</w:t>
            </w:r>
          </w:p>
        </w:tc>
      </w:tr>
      <w:tr>
        <w:trPr>
          <w:trHeight w:val="220" w:hRule="atLeast"/>
        </w:trPr>
        <w:tc>
          <w:tcPr>
            <w:tcW w:w="1290" w:type="dxa"/>
            <w:tcBorders>
              <w:top w:val="single" w:sz="6" w:space="0" w:color="000000"/>
            </w:tcBorders>
          </w:tcPr>
          <w:p>
            <w:pPr>
              <w:pStyle w:val="TableParagraph"/>
              <w:spacing w:before="15"/>
              <w:ind w:left="44"/>
              <w:rPr>
                <w:sz w:val="16"/>
              </w:rPr>
            </w:pPr>
            <w:r>
              <w:rPr>
                <w:spacing w:val="-2"/>
                <w:w w:val="105"/>
                <w:sz w:val="16"/>
              </w:rPr>
              <w:t>Studio</w:t>
            </w:r>
          </w:p>
        </w:tc>
        <w:tc>
          <w:tcPr>
            <w:tcW w:w="165" w:type="dxa"/>
          </w:tcPr>
          <w:p>
            <w:pPr>
              <w:pStyle w:val="TableParagraph"/>
              <w:rPr>
                <w:rFonts w:ascii="Times New Roman"/>
                <w:sz w:val="14"/>
              </w:rPr>
            </w:pPr>
          </w:p>
        </w:tc>
        <w:tc>
          <w:tcPr>
            <w:tcW w:w="676" w:type="dxa"/>
            <w:tcBorders>
              <w:top w:val="single" w:sz="6" w:space="0" w:color="000000"/>
            </w:tcBorders>
          </w:tcPr>
          <w:p>
            <w:pPr>
              <w:pStyle w:val="TableParagraph"/>
              <w:spacing w:before="15"/>
              <w:ind w:right="44"/>
              <w:jc w:val="right"/>
              <w:rPr>
                <w:sz w:val="16"/>
              </w:rPr>
            </w:pPr>
            <w:r>
              <w:rPr>
                <w:spacing w:val="-5"/>
                <w:w w:val="105"/>
                <w:sz w:val="16"/>
              </w:rPr>
              <w:t>161</w:t>
            </w:r>
          </w:p>
        </w:tc>
        <w:tc>
          <w:tcPr>
            <w:tcW w:w="165" w:type="dxa"/>
          </w:tcPr>
          <w:p>
            <w:pPr>
              <w:pStyle w:val="TableParagraph"/>
              <w:rPr>
                <w:rFonts w:ascii="Times New Roman"/>
                <w:sz w:val="14"/>
              </w:rPr>
            </w:pPr>
          </w:p>
        </w:tc>
        <w:tc>
          <w:tcPr>
            <w:tcW w:w="676" w:type="dxa"/>
            <w:tcBorders>
              <w:top w:val="single" w:sz="6" w:space="0" w:color="000000"/>
            </w:tcBorders>
          </w:tcPr>
          <w:p>
            <w:pPr>
              <w:pStyle w:val="TableParagraph"/>
              <w:spacing w:before="15"/>
              <w:ind w:right="50"/>
              <w:jc w:val="right"/>
              <w:rPr>
                <w:sz w:val="16"/>
              </w:rPr>
            </w:pPr>
            <w:r>
              <w:rPr>
                <w:spacing w:val="-5"/>
                <w:w w:val="105"/>
                <w:sz w:val="16"/>
              </w:rPr>
              <w:t>2%</w:t>
            </w:r>
          </w:p>
        </w:tc>
        <w:tc>
          <w:tcPr>
            <w:tcW w:w="166" w:type="dxa"/>
          </w:tcPr>
          <w:p>
            <w:pPr>
              <w:pStyle w:val="TableParagraph"/>
              <w:rPr>
                <w:rFonts w:ascii="Times New Roman"/>
                <w:sz w:val="14"/>
              </w:rPr>
            </w:pPr>
          </w:p>
        </w:tc>
        <w:tc>
          <w:tcPr>
            <w:tcW w:w="676" w:type="dxa"/>
            <w:tcBorders>
              <w:top w:val="single" w:sz="6" w:space="0" w:color="000000"/>
            </w:tcBorders>
          </w:tcPr>
          <w:p>
            <w:pPr>
              <w:pStyle w:val="TableParagraph"/>
              <w:spacing w:before="15"/>
              <w:ind w:right="45"/>
              <w:jc w:val="right"/>
              <w:rPr>
                <w:sz w:val="16"/>
              </w:rPr>
            </w:pPr>
            <w:r>
              <w:rPr>
                <w:spacing w:val="-10"/>
                <w:w w:val="105"/>
                <w:sz w:val="16"/>
              </w:rPr>
              <w:t>0</w:t>
            </w:r>
          </w:p>
        </w:tc>
        <w:tc>
          <w:tcPr>
            <w:tcW w:w="165" w:type="dxa"/>
          </w:tcPr>
          <w:p>
            <w:pPr>
              <w:pStyle w:val="TableParagraph"/>
              <w:rPr>
                <w:rFonts w:ascii="Times New Roman"/>
                <w:sz w:val="14"/>
              </w:rPr>
            </w:pPr>
          </w:p>
        </w:tc>
        <w:tc>
          <w:tcPr>
            <w:tcW w:w="676" w:type="dxa"/>
            <w:tcBorders>
              <w:top w:val="single" w:sz="6" w:space="0" w:color="000000"/>
            </w:tcBorders>
          </w:tcPr>
          <w:p>
            <w:pPr>
              <w:pStyle w:val="TableParagraph"/>
              <w:spacing w:before="15"/>
              <w:ind w:right="53"/>
              <w:jc w:val="right"/>
              <w:rPr>
                <w:sz w:val="16"/>
              </w:rPr>
            </w:pPr>
            <w:r>
              <w:rPr>
                <w:spacing w:val="-5"/>
                <w:w w:val="105"/>
                <w:sz w:val="16"/>
              </w:rPr>
              <w:t>0%</w:t>
            </w:r>
          </w:p>
        </w:tc>
        <w:tc>
          <w:tcPr>
            <w:tcW w:w="165" w:type="dxa"/>
          </w:tcPr>
          <w:p>
            <w:pPr>
              <w:pStyle w:val="TableParagraph"/>
              <w:rPr>
                <w:rFonts w:ascii="Times New Roman"/>
                <w:sz w:val="14"/>
              </w:rPr>
            </w:pPr>
          </w:p>
        </w:tc>
        <w:tc>
          <w:tcPr>
            <w:tcW w:w="780" w:type="dxa"/>
            <w:tcBorders>
              <w:top w:val="single" w:sz="6" w:space="0" w:color="000000"/>
            </w:tcBorders>
          </w:tcPr>
          <w:p>
            <w:pPr>
              <w:pStyle w:val="TableParagraph"/>
              <w:spacing w:before="15"/>
              <w:ind w:right="51"/>
              <w:jc w:val="right"/>
              <w:rPr>
                <w:sz w:val="16"/>
              </w:rPr>
            </w:pPr>
            <w:r>
              <w:rPr>
                <w:spacing w:val="-4"/>
                <w:w w:val="105"/>
                <w:sz w:val="16"/>
              </w:rPr>
              <w:t>0.0%</w:t>
            </w:r>
          </w:p>
        </w:tc>
        <w:tc>
          <w:tcPr>
            <w:tcW w:w="165" w:type="dxa"/>
          </w:tcPr>
          <w:p>
            <w:pPr>
              <w:pStyle w:val="TableParagraph"/>
              <w:rPr>
                <w:rFonts w:ascii="Times New Roman"/>
                <w:sz w:val="14"/>
              </w:rPr>
            </w:pPr>
          </w:p>
        </w:tc>
        <w:tc>
          <w:tcPr>
            <w:tcW w:w="855" w:type="dxa"/>
            <w:tcBorders>
              <w:top w:val="single" w:sz="6" w:space="0" w:color="000000"/>
            </w:tcBorders>
          </w:tcPr>
          <w:p>
            <w:pPr>
              <w:pStyle w:val="TableParagraph"/>
              <w:spacing w:before="15"/>
              <w:ind w:right="51"/>
              <w:jc w:val="right"/>
              <w:rPr>
                <w:sz w:val="16"/>
              </w:rPr>
            </w:pPr>
            <w:r>
              <w:rPr>
                <w:spacing w:val="-4"/>
                <w:w w:val="105"/>
                <w:sz w:val="16"/>
              </w:rPr>
              <w:t>0.6%</w:t>
            </w:r>
          </w:p>
        </w:tc>
        <w:tc>
          <w:tcPr>
            <w:tcW w:w="165" w:type="dxa"/>
          </w:tcPr>
          <w:p>
            <w:pPr>
              <w:pStyle w:val="TableParagraph"/>
              <w:rPr>
                <w:rFonts w:ascii="Times New Roman"/>
                <w:sz w:val="14"/>
              </w:rPr>
            </w:pPr>
          </w:p>
        </w:tc>
        <w:tc>
          <w:tcPr>
            <w:tcW w:w="855" w:type="dxa"/>
            <w:tcBorders>
              <w:top w:val="single" w:sz="6" w:space="0" w:color="000000"/>
            </w:tcBorders>
          </w:tcPr>
          <w:p>
            <w:pPr>
              <w:pStyle w:val="TableParagraph"/>
              <w:spacing w:before="15"/>
              <w:ind w:right="51"/>
              <w:jc w:val="right"/>
              <w:rPr>
                <w:sz w:val="16"/>
              </w:rPr>
            </w:pPr>
            <w:r>
              <w:rPr>
                <w:spacing w:val="-4"/>
                <w:w w:val="105"/>
                <w:sz w:val="16"/>
              </w:rPr>
              <w:t>0.0%</w:t>
            </w:r>
          </w:p>
        </w:tc>
      </w:tr>
      <w:tr>
        <w:trPr>
          <w:trHeight w:val="225" w:hRule="atLeast"/>
        </w:trPr>
        <w:tc>
          <w:tcPr>
            <w:tcW w:w="1290" w:type="dxa"/>
          </w:tcPr>
          <w:p>
            <w:pPr>
              <w:pStyle w:val="TableParagraph"/>
              <w:spacing w:before="19"/>
              <w:ind w:left="44"/>
              <w:rPr>
                <w:sz w:val="16"/>
              </w:rPr>
            </w:pPr>
            <w:r>
              <w:rPr>
                <w:w w:val="105"/>
                <w:sz w:val="16"/>
              </w:rPr>
              <w:t>1</w:t>
            </w:r>
            <w:r>
              <w:rPr>
                <w:spacing w:val="-8"/>
                <w:w w:val="105"/>
                <w:sz w:val="16"/>
              </w:rPr>
              <w:t> </w:t>
            </w:r>
            <w:r>
              <w:rPr>
                <w:spacing w:val="-2"/>
                <w:w w:val="105"/>
                <w:sz w:val="16"/>
              </w:rPr>
              <w:t>Bedroom</w:t>
            </w:r>
          </w:p>
        </w:tc>
        <w:tc>
          <w:tcPr>
            <w:tcW w:w="165" w:type="dxa"/>
          </w:tcPr>
          <w:p>
            <w:pPr>
              <w:pStyle w:val="TableParagraph"/>
              <w:rPr>
                <w:rFonts w:ascii="Times New Roman"/>
                <w:sz w:val="16"/>
              </w:rPr>
            </w:pPr>
          </w:p>
        </w:tc>
        <w:tc>
          <w:tcPr>
            <w:tcW w:w="676" w:type="dxa"/>
          </w:tcPr>
          <w:p>
            <w:pPr>
              <w:pStyle w:val="TableParagraph"/>
              <w:spacing w:before="19"/>
              <w:ind w:right="42"/>
              <w:jc w:val="right"/>
              <w:rPr>
                <w:sz w:val="16"/>
              </w:rPr>
            </w:pPr>
            <w:r>
              <w:rPr>
                <w:spacing w:val="-4"/>
                <w:w w:val="105"/>
                <w:sz w:val="16"/>
              </w:rPr>
              <w:t>2,323</w:t>
            </w:r>
          </w:p>
        </w:tc>
        <w:tc>
          <w:tcPr>
            <w:tcW w:w="165" w:type="dxa"/>
          </w:tcPr>
          <w:p>
            <w:pPr>
              <w:pStyle w:val="TableParagraph"/>
              <w:rPr>
                <w:rFonts w:ascii="Times New Roman"/>
                <w:sz w:val="16"/>
              </w:rPr>
            </w:pPr>
          </w:p>
        </w:tc>
        <w:tc>
          <w:tcPr>
            <w:tcW w:w="676" w:type="dxa"/>
          </w:tcPr>
          <w:p>
            <w:pPr>
              <w:pStyle w:val="TableParagraph"/>
              <w:spacing w:before="19"/>
              <w:ind w:right="50"/>
              <w:jc w:val="right"/>
              <w:rPr>
                <w:sz w:val="16"/>
              </w:rPr>
            </w:pPr>
            <w:r>
              <w:rPr>
                <w:spacing w:val="-5"/>
                <w:w w:val="105"/>
                <w:sz w:val="16"/>
              </w:rPr>
              <w:t>33%</w:t>
            </w:r>
          </w:p>
        </w:tc>
        <w:tc>
          <w:tcPr>
            <w:tcW w:w="166" w:type="dxa"/>
          </w:tcPr>
          <w:p>
            <w:pPr>
              <w:pStyle w:val="TableParagraph"/>
              <w:rPr>
                <w:rFonts w:ascii="Times New Roman"/>
                <w:sz w:val="16"/>
              </w:rPr>
            </w:pPr>
          </w:p>
        </w:tc>
        <w:tc>
          <w:tcPr>
            <w:tcW w:w="676" w:type="dxa"/>
          </w:tcPr>
          <w:p>
            <w:pPr>
              <w:pStyle w:val="TableParagraph"/>
              <w:spacing w:before="19"/>
              <w:ind w:right="45"/>
              <w:jc w:val="right"/>
              <w:rPr>
                <w:sz w:val="16"/>
              </w:rPr>
            </w:pPr>
            <w:r>
              <w:rPr>
                <w:spacing w:val="-10"/>
                <w:w w:val="105"/>
                <w:sz w:val="16"/>
              </w:rPr>
              <w:t>3</w:t>
            </w:r>
          </w:p>
        </w:tc>
        <w:tc>
          <w:tcPr>
            <w:tcW w:w="165" w:type="dxa"/>
          </w:tcPr>
          <w:p>
            <w:pPr>
              <w:pStyle w:val="TableParagraph"/>
              <w:rPr>
                <w:rFonts w:ascii="Times New Roman"/>
                <w:sz w:val="16"/>
              </w:rPr>
            </w:pPr>
          </w:p>
        </w:tc>
        <w:tc>
          <w:tcPr>
            <w:tcW w:w="676" w:type="dxa"/>
          </w:tcPr>
          <w:p>
            <w:pPr>
              <w:pStyle w:val="TableParagraph"/>
              <w:spacing w:before="19"/>
              <w:ind w:right="53"/>
              <w:jc w:val="right"/>
              <w:rPr>
                <w:sz w:val="16"/>
              </w:rPr>
            </w:pPr>
            <w:r>
              <w:rPr>
                <w:spacing w:val="-5"/>
                <w:w w:val="105"/>
                <w:sz w:val="16"/>
              </w:rPr>
              <w:t>4%</w:t>
            </w:r>
          </w:p>
        </w:tc>
        <w:tc>
          <w:tcPr>
            <w:tcW w:w="165" w:type="dxa"/>
          </w:tcPr>
          <w:p>
            <w:pPr>
              <w:pStyle w:val="TableParagraph"/>
              <w:rPr>
                <w:rFonts w:ascii="Times New Roman"/>
                <w:sz w:val="16"/>
              </w:rPr>
            </w:pPr>
          </w:p>
        </w:tc>
        <w:tc>
          <w:tcPr>
            <w:tcW w:w="780" w:type="dxa"/>
          </w:tcPr>
          <w:p>
            <w:pPr>
              <w:pStyle w:val="TableParagraph"/>
              <w:spacing w:before="19"/>
              <w:ind w:right="51"/>
              <w:jc w:val="right"/>
              <w:rPr>
                <w:sz w:val="16"/>
              </w:rPr>
            </w:pPr>
            <w:r>
              <w:rPr>
                <w:spacing w:val="-4"/>
                <w:w w:val="105"/>
                <w:sz w:val="16"/>
              </w:rPr>
              <w:t>0.1%</w:t>
            </w:r>
          </w:p>
        </w:tc>
        <w:tc>
          <w:tcPr>
            <w:tcW w:w="165" w:type="dxa"/>
          </w:tcPr>
          <w:p>
            <w:pPr>
              <w:pStyle w:val="TableParagraph"/>
              <w:rPr>
                <w:rFonts w:ascii="Times New Roman"/>
                <w:sz w:val="16"/>
              </w:rPr>
            </w:pPr>
          </w:p>
        </w:tc>
        <w:tc>
          <w:tcPr>
            <w:tcW w:w="855" w:type="dxa"/>
          </w:tcPr>
          <w:p>
            <w:pPr>
              <w:pStyle w:val="TableParagraph"/>
              <w:spacing w:before="19"/>
              <w:ind w:right="51"/>
              <w:jc w:val="right"/>
              <w:rPr>
                <w:sz w:val="16"/>
              </w:rPr>
            </w:pPr>
            <w:r>
              <w:rPr>
                <w:spacing w:val="-4"/>
                <w:w w:val="105"/>
                <w:sz w:val="16"/>
              </w:rPr>
              <w:t>3.6%</w:t>
            </w:r>
          </w:p>
        </w:tc>
        <w:tc>
          <w:tcPr>
            <w:tcW w:w="165" w:type="dxa"/>
          </w:tcPr>
          <w:p>
            <w:pPr>
              <w:pStyle w:val="TableParagraph"/>
              <w:rPr>
                <w:rFonts w:ascii="Times New Roman"/>
                <w:sz w:val="16"/>
              </w:rPr>
            </w:pPr>
          </w:p>
        </w:tc>
        <w:tc>
          <w:tcPr>
            <w:tcW w:w="855" w:type="dxa"/>
          </w:tcPr>
          <w:p>
            <w:pPr>
              <w:pStyle w:val="TableParagraph"/>
              <w:spacing w:before="19"/>
              <w:ind w:right="51"/>
              <w:jc w:val="right"/>
              <w:rPr>
                <w:sz w:val="16"/>
              </w:rPr>
            </w:pPr>
            <w:r>
              <w:rPr>
                <w:spacing w:val="-4"/>
                <w:w w:val="105"/>
                <w:sz w:val="16"/>
              </w:rPr>
              <w:t>1.0%</w:t>
            </w:r>
          </w:p>
        </w:tc>
      </w:tr>
      <w:tr>
        <w:trPr>
          <w:trHeight w:val="225" w:hRule="atLeast"/>
        </w:trPr>
        <w:tc>
          <w:tcPr>
            <w:tcW w:w="1290" w:type="dxa"/>
          </w:tcPr>
          <w:p>
            <w:pPr>
              <w:pStyle w:val="TableParagraph"/>
              <w:spacing w:before="20"/>
              <w:ind w:left="44"/>
              <w:rPr>
                <w:sz w:val="16"/>
              </w:rPr>
            </w:pPr>
            <w:r>
              <w:rPr>
                <w:w w:val="105"/>
                <w:sz w:val="16"/>
              </w:rPr>
              <w:t>2</w:t>
            </w:r>
            <w:r>
              <w:rPr>
                <w:spacing w:val="-8"/>
                <w:w w:val="105"/>
                <w:sz w:val="16"/>
              </w:rPr>
              <w:t> </w:t>
            </w:r>
            <w:r>
              <w:rPr>
                <w:spacing w:val="-2"/>
                <w:w w:val="105"/>
                <w:sz w:val="16"/>
              </w:rPr>
              <w:t>Bedroom</w:t>
            </w:r>
          </w:p>
        </w:tc>
        <w:tc>
          <w:tcPr>
            <w:tcW w:w="165" w:type="dxa"/>
          </w:tcPr>
          <w:p>
            <w:pPr>
              <w:pStyle w:val="TableParagraph"/>
              <w:rPr>
                <w:rFonts w:ascii="Times New Roman"/>
                <w:sz w:val="16"/>
              </w:rPr>
            </w:pPr>
          </w:p>
        </w:tc>
        <w:tc>
          <w:tcPr>
            <w:tcW w:w="676" w:type="dxa"/>
          </w:tcPr>
          <w:p>
            <w:pPr>
              <w:pStyle w:val="TableParagraph"/>
              <w:spacing w:before="20"/>
              <w:ind w:right="42"/>
              <w:jc w:val="right"/>
              <w:rPr>
                <w:sz w:val="16"/>
              </w:rPr>
            </w:pPr>
            <w:r>
              <w:rPr>
                <w:spacing w:val="-4"/>
                <w:w w:val="105"/>
                <w:sz w:val="16"/>
              </w:rPr>
              <w:t>3,285</w:t>
            </w:r>
          </w:p>
        </w:tc>
        <w:tc>
          <w:tcPr>
            <w:tcW w:w="165" w:type="dxa"/>
          </w:tcPr>
          <w:p>
            <w:pPr>
              <w:pStyle w:val="TableParagraph"/>
              <w:rPr>
                <w:rFonts w:ascii="Times New Roman"/>
                <w:sz w:val="16"/>
              </w:rPr>
            </w:pPr>
          </w:p>
        </w:tc>
        <w:tc>
          <w:tcPr>
            <w:tcW w:w="676" w:type="dxa"/>
          </w:tcPr>
          <w:p>
            <w:pPr>
              <w:pStyle w:val="TableParagraph"/>
              <w:spacing w:before="20"/>
              <w:ind w:right="50"/>
              <w:jc w:val="right"/>
              <w:rPr>
                <w:sz w:val="16"/>
              </w:rPr>
            </w:pPr>
            <w:r>
              <w:rPr>
                <w:spacing w:val="-5"/>
                <w:w w:val="105"/>
                <w:sz w:val="16"/>
              </w:rPr>
              <w:t>46%</w:t>
            </w:r>
          </w:p>
        </w:tc>
        <w:tc>
          <w:tcPr>
            <w:tcW w:w="166" w:type="dxa"/>
          </w:tcPr>
          <w:p>
            <w:pPr>
              <w:pStyle w:val="TableParagraph"/>
              <w:rPr>
                <w:rFonts w:ascii="Times New Roman"/>
                <w:sz w:val="16"/>
              </w:rPr>
            </w:pPr>
          </w:p>
        </w:tc>
        <w:tc>
          <w:tcPr>
            <w:tcW w:w="676" w:type="dxa"/>
          </w:tcPr>
          <w:p>
            <w:pPr>
              <w:pStyle w:val="TableParagraph"/>
              <w:spacing w:before="20"/>
              <w:ind w:right="47"/>
              <w:jc w:val="right"/>
              <w:rPr>
                <w:sz w:val="16"/>
              </w:rPr>
            </w:pPr>
            <w:r>
              <w:rPr>
                <w:spacing w:val="-5"/>
                <w:w w:val="105"/>
                <w:sz w:val="16"/>
              </w:rPr>
              <w:t>18</w:t>
            </w:r>
          </w:p>
        </w:tc>
        <w:tc>
          <w:tcPr>
            <w:tcW w:w="165" w:type="dxa"/>
          </w:tcPr>
          <w:p>
            <w:pPr>
              <w:pStyle w:val="TableParagraph"/>
              <w:rPr>
                <w:rFonts w:ascii="Times New Roman"/>
                <w:sz w:val="16"/>
              </w:rPr>
            </w:pPr>
          </w:p>
        </w:tc>
        <w:tc>
          <w:tcPr>
            <w:tcW w:w="676" w:type="dxa"/>
          </w:tcPr>
          <w:p>
            <w:pPr>
              <w:pStyle w:val="TableParagraph"/>
              <w:spacing w:before="20"/>
              <w:ind w:right="53"/>
              <w:jc w:val="right"/>
              <w:rPr>
                <w:sz w:val="16"/>
              </w:rPr>
            </w:pPr>
            <w:r>
              <w:rPr>
                <w:spacing w:val="-5"/>
                <w:w w:val="105"/>
                <w:sz w:val="16"/>
              </w:rPr>
              <w:t>22%</w:t>
            </w:r>
          </w:p>
        </w:tc>
        <w:tc>
          <w:tcPr>
            <w:tcW w:w="165" w:type="dxa"/>
          </w:tcPr>
          <w:p>
            <w:pPr>
              <w:pStyle w:val="TableParagraph"/>
              <w:rPr>
                <w:rFonts w:ascii="Times New Roman"/>
                <w:sz w:val="16"/>
              </w:rPr>
            </w:pPr>
          </w:p>
        </w:tc>
        <w:tc>
          <w:tcPr>
            <w:tcW w:w="780" w:type="dxa"/>
          </w:tcPr>
          <w:p>
            <w:pPr>
              <w:pStyle w:val="TableParagraph"/>
              <w:spacing w:before="20"/>
              <w:ind w:right="51"/>
              <w:jc w:val="right"/>
              <w:rPr>
                <w:sz w:val="16"/>
              </w:rPr>
            </w:pPr>
            <w:r>
              <w:rPr>
                <w:spacing w:val="-4"/>
                <w:w w:val="105"/>
                <w:sz w:val="16"/>
              </w:rPr>
              <w:t>0.5%</w:t>
            </w:r>
          </w:p>
        </w:tc>
        <w:tc>
          <w:tcPr>
            <w:tcW w:w="165" w:type="dxa"/>
          </w:tcPr>
          <w:p>
            <w:pPr>
              <w:pStyle w:val="TableParagraph"/>
              <w:rPr>
                <w:rFonts w:ascii="Times New Roman"/>
                <w:sz w:val="16"/>
              </w:rPr>
            </w:pPr>
          </w:p>
        </w:tc>
        <w:tc>
          <w:tcPr>
            <w:tcW w:w="855" w:type="dxa"/>
          </w:tcPr>
          <w:p>
            <w:pPr>
              <w:pStyle w:val="TableParagraph"/>
              <w:spacing w:before="20"/>
              <w:ind w:right="51"/>
              <w:jc w:val="right"/>
              <w:rPr>
                <w:sz w:val="16"/>
              </w:rPr>
            </w:pPr>
            <w:r>
              <w:rPr>
                <w:spacing w:val="-2"/>
                <w:w w:val="105"/>
                <w:sz w:val="16"/>
              </w:rPr>
              <w:t>10.8%</w:t>
            </w:r>
          </w:p>
        </w:tc>
        <w:tc>
          <w:tcPr>
            <w:tcW w:w="165" w:type="dxa"/>
          </w:tcPr>
          <w:p>
            <w:pPr>
              <w:pStyle w:val="TableParagraph"/>
              <w:rPr>
                <w:rFonts w:ascii="Times New Roman"/>
                <w:sz w:val="16"/>
              </w:rPr>
            </w:pPr>
          </w:p>
        </w:tc>
        <w:tc>
          <w:tcPr>
            <w:tcW w:w="855" w:type="dxa"/>
          </w:tcPr>
          <w:p>
            <w:pPr>
              <w:pStyle w:val="TableParagraph"/>
              <w:spacing w:before="20"/>
              <w:ind w:right="51"/>
              <w:jc w:val="right"/>
              <w:rPr>
                <w:sz w:val="16"/>
              </w:rPr>
            </w:pPr>
            <w:r>
              <w:rPr>
                <w:spacing w:val="-4"/>
                <w:w w:val="105"/>
                <w:sz w:val="16"/>
              </w:rPr>
              <w:t>0.5%</w:t>
            </w:r>
          </w:p>
        </w:tc>
      </w:tr>
      <w:tr>
        <w:trPr>
          <w:trHeight w:val="225" w:hRule="atLeast"/>
        </w:trPr>
        <w:tc>
          <w:tcPr>
            <w:tcW w:w="1290" w:type="dxa"/>
          </w:tcPr>
          <w:p>
            <w:pPr>
              <w:pStyle w:val="TableParagraph"/>
              <w:spacing w:before="19"/>
              <w:ind w:left="44"/>
              <w:rPr>
                <w:sz w:val="16"/>
              </w:rPr>
            </w:pPr>
            <w:r>
              <w:rPr>
                <w:w w:val="105"/>
                <w:sz w:val="16"/>
              </w:rPr>
              <w:t>3</w:t>
            </w:r>
            <w:r>
              <w:rPr>
                <w:spacing w:val="-8"/>
                <w:w w:val="105"/>
                <w:sz w:val="16"/>
              </w:rPr>
              <w:t> </w:t>
            </w:r>
            <w:r>
              <w:rPr>
                <w:spacing w:val="-2"/>
                <w:w w:val="105"/>
                <w:sz w:val="16"/>
              </w:rPr>
              <w:t>Bedroom</w:t>
            </w:r>
          </w:p>
        </w:tc>
        <w:tc>
          <w:tcPr>
            <w:tcW w:w="165" w:type="dxa"/>
          </w:tcPr>
          <w:p>
            <w:pPr>
              <w:pStyle w:val="TableParagraph"/>
              <w:rPr>
                <w:rFonts w:ascii="Times New Roman"/>
                <w:sz w:val="16"/>
              </w:rPr>
            </w:pPr>
          </w:p>
        </w:tc>
        <w:tc>
          <w:tcPr>
            <w:tcW w:w="676" w:type="dxa"/>
          </w:tcPr>
          <w:p>
            <w:pPr>
              <w:pStyle w:val="TableParagraph"/>
              <w:spacing w:before="19"/>
              <w:ind w:right="44"/>
              <w:jc w:val="right"/>
              <w:rPr>
                <w:sz w:val="16"/>
              </w:rPr>
            </w:pPr>
            <w:r>
              <w:rPr>
                <w:spacing w:val="-5"/>
                <w:w w:val="105"/>
                <w:sz w:val="16"/>
              </w:rPr>
              <w:t>947</w:t>
            </w:r>
          </w:p>
        </w:tc>
        <w:tc>
          <w:tcPr>
            <w:tcW w:w="165" w:type="dxa"/>
          </w:tcPr>
          <w:p>
            <w:pPr>
              <w:pStyle w:val="TableParagraph"/>
              <w:rPr>
                <w:rFonts w:ascii="Times New Roman"/>
                <w:sz w:val="16"/>
              </w:rPr>
            </w:pPr>
          </w:p>
        </w:tc>
        <w:tc>
          <w:tcPr>
            <w:tcW w:w="676" w:type="dxa"/>
          </w:tcPr>
          <w:p>
            <w:pPr>
              <w:pStyle w:val="TableParagraph"/>
              <w:spacing w:before="19"/>
              <w:ind w:right="50"/>
              <w:jc w:val="right"/>
              <w:rPr>
                <w:sz w:val="16"/>
              </w:rPr>
            </w:pPr>
            <w:r>
              <w:rPr>
                <w:spacing w:val="-5"/>
                <w:w w:val="105"/>
                <w:sz w:val="16"/>
              </w:rPr>
              <w:t>13%</w:t>
            </w:r>
          </w:p>
        </w:tc>
        <w:tc>
          <w:tcPr>
            <w:tcW w:w="166" w:type="dxa"/>
          </w:tcPr>
          <w:p>
            <w:pPr>
              <w:pStyle w:val="TableParagraph"/>
              <w:rPr>
                <w:rFonts w:ascii="Times New Roman"/>
                <w:sz w:val="16"/>
              </w:rPr>
            </w:pPr>
          </w:p>
        </w:tc>
        <w:tc>
          <w:tcPr>
            <w:tcW w:w="676" w:type="dxa"/>
          </w:tcPr>
          <w:p>
            <w:pPr>
              <w:pStyle w:val="TableParagraph"/>
              <w:spacing w:before="19"/>
              <w:ind w:right="47"/>
              <w:jc w:val="right"/>
              <w:rPr>
                <w:sz w:val="16"/>
              </w:rPr>
            </w:pPr>
            <w:r>
              <w:rPr>
                <w:spacing w:val="-5"/>
                <w:w w:val="105"/>
                <w:sz w:val="16"/>
              </w:rPr>
              <w:t>23</w:t>
            </w:r>
          </w:p>
        </w:tc>
        <w:tc>
          <w:tcPr>
            <w:tcW w:w="165" w:type="dxa"/>
          </w:tcPr>
          <w:p>
            <w:pPr>
              <w:pStyle w:val="TableParagraph"/>
              <w:rPr>
                <w:rFonts w:ascii="Times New Roman"/>
                <w:sz w:val="16"/>
              </w:rPr>
            </w:pPr>
          </w:p>
        </w:tc>
        <w:tc>
          <w:tcPr>
            <w:tcW w:w="676" w:type="dxa"/>
          </w:tcPr>
          <w:p>
            <w:pPr>
              <w:pStyle w:val="TableParagraph"/>
              <w:spacing w:before="19"/>
              <w:ind w:right="53"/>
              <w:jc w:val="right"/>
              <w:rPr>
                <w:sz w:val="16"/>
              </w:rPr>
            </w:pPr>
            <w:r>
              <w:rPr>
                <w:spacing w:val="-5"/>
                <w:w w:val="105"/>
                <w:sz w:val="16"/>
              </w:rPr>
              <w:t>28%</w:t>
            </w:r>
          </w:p>
        </w:tc>
        <w:tc>
          <w:tcPr>
            <w:tcW w:w="165" w:type="dxa"/>
          </w:tcPr>
          <w:p>
            <w:pPr>
              <w:pStyle w:val="TableParagraph"/>
              <w:rPr>
                <w:rFonts w:ascii="Times New Roman"/>
                <w:sz w:val="16"/>
              </w:rPr>
            </w:pPr>
          </w:p>
        </w:tc>
        <w:tc>
          <w:tcPr>
            <w:tcW w:w="780" w:type="dxa"/>
          </w:tcPr>
          <w:p>
            <w:pPr>
              <w:pStyle w:val="TableParagraph"/>
              <w:spacing w:before="19"/>
              <w:ind w:right="51"/>
              <w:jc w:val="right"/>
              <w:rPr>
                <w:sz w:val="16"/>
              </w:rPr>
            </w:pPr>
            <w:r>
              <w:rPr>
                <w:spacing w:val="-4"/>
                <w:w w:val="105"/>
                <w:sz w:val="16"/>
              </w:rPr>
              <w:t>2.4%</w:t>
            </w:r>
          </w:p>
        </w:tc>
        <w:tc>
          <w:tcPr>
            <w:tcW w:w="165" w:type="dxa"/>
          </w:tcPr>
          <w:p>
            <w:pPr>
              <w:pStyle w:val="TableParagraph"/>
              <w:rPr>
                <w:rFonts w:ascii="Times New Roman"/>
                <w:sz w:val="16"/>
              </w:rPr>
            </w:pPr>
          </w:p>
        </w:tc>
        <w:tc>
          <w:tcPr>
            <w:tcW w:w="855" w:type="dxa"/>
          </w:tcPr>
          <w:p>
            <w:pPr>
              <w:pStyle w:val="TableParagraph"/>
              <w:spacing w:before="19"/>
              <w:ind w:right="51"/>
              <w:jc w:val="right"/>
              <w:rPr>
                <w:sz w:val="16"/>
              </w:rPr>
            </w:pPr>
            <w:r>
              <w:rPr>
                <w:spacing w:val="-2"/>
                <w:w w:val="105"/>
                <w:sz w:val="16"/>
              </w:rPr>
              <w:t>12.3%</w:t>
            </w:r>
          </w:p>
        </w:tc>
        <w:tc>
          <w:tcPr>
            <w:tcW w:w="165" w:type="dxa"/>
          </w:tcPr>
          <w:p>
            <w:pPr>
              <w:pStyle w:val="TableParagraph"/>
              <w:rPr>
                <w:rFonts w:ascii="Times New Roman"/>
                <w:sz w:val="16"/>
              </w:rPr>
            </w:pPr>
          </w:p>
        </w:tc>
        <w:tc>
          <w:tcPr>
            <w:tcW w:w="855" w:type="dxa"/>
          </w:tcPr>
          <w:p>
            <w:pPr>
              <w:pStyle w:val="TableParagraph"/>
              <w:spacing w:before="19"/>
              <w:ind w:right="51"/>
              <w:jc w:val="right"/>
              <w:rPr>
                <w:sz w:val="16"/>
              </w:rPr>
            </w:pPr>
            <w:r>
              <w:rPr>
                <w:spacing w:val="-4"/>
                <w:w w:val="105"/>
                <w:sz w:val="16"/>
              </w:rPr>
              <w:t>0.0%</w:t>
            </w:r>
          </w:p>
        </w:tc>
      </w:tr>
      <w:tr>
        <w:trPr>
          <w:trHeight w:val="214" w:hRule="atLeast"/>
        </w:trPr>
        <w:tc>
          <w:tcPr>
            <w:tcW w:w="1290" w:type="dxa"/>
            <w:tcBorders>
              <w:bottom w:val="single" w:sz="6" w:space="0" w:color="000000"/>
            </w:tcBorders>
          </w:tcPr>
          <w:p>
            <w:pPr>
              <w:pStyle w:val="TableParagraph"/>
              <w:spacing w:line="175" w:lineRule="exact" w:before="20"/>
              <w:ind w:left="44"/>
              <w:rPr>
                <w:sz w:val="16"/>
              </w:rPr>
            </w:pPr>
            <w:r>
              <w:rPr>
                <w:sz w:val="16"/>
              </w:rPr>
              <w:t>4+</w:t>
            </w:r>
            <w:r>
              <w:rPr>
                <w:spacing w:val="-5"/>
                <w:sz w:val="16"/>
              </w:rPr>
              <w:t> </w:t>
            </w:r>
            <w:r>
              <w:rPr>
                <w:spacing w:val="-2"/>
                <w:sz w:val="16"/>
              </w:rPr>
              <w:t>Bedroom</w:t>
            </w:r>
          </w:p>
        </w:tc>
        <w:tc>
          <w:tcPr>
            <w:tcW w:w="165" w:type="dxa"/>
          </w:tcPr>
          <w:p>
            <w:pPr>
              <w:pStyle w:val="TableParagraph"/>
              <w:rPr>
                <w:rFonts w:ascii="Times New Roman"/>
                <w:sz w:val="14"/>
              </w:rPr>
            </w:pPr>
          </w:p>
        </w:tc>
        <w:tc>
          <w:tcPr>
            <w:tcW w:w="676" w:type="dxa"/>
            <w:tcBorders>
              <w:bottom w:val="single" w:sz="6" w:space="0" w:color="000000"/>
            </w:tcBorders>
          </w:tcPr>
          <w:p>
            <w:pPr>
              <w:pStyle w:val="TableParagraph"/>
              <w:spacing w:line="175" w:lineRule="exact" w:before="20"/>
              <w:ind w:right="44"/>
              <w:jc w:val="right"/>
              <w:rPr>
                <w:sz w:val="16"/>
              </w:rPr>
            </w:pPr>
            <w:r>
              <w:rPr>
                <w:spacing w:val="-5"/>
                <w:w w:val="105"/>
                <w:sz w:val="16"/>
              </w:rPr>
              <w:t>367</w:t>
            </w:r>
          </w:p>
        </w:tc>
        <w:tc>
          <w:tcPr>
            <w:tcW w:w="165" w:type="dxa"/>
          </w:tcPr>
          <w:p>
            <w:pPr>
              <w:pStyle w:val="TableParagraph"/>
              <w:rPr>
                <w:rFonts w:ascii="Times New Roman"/>
                <w:sz w:val="14"/>
              </w:rPr>
            </w:pPr>
          </w:p>
        </w:tc>
        <w:tc>
          <w:tcPr>
            <w:tcW w:w="676" w:type="dxa"/>
            <w:tcBorders>
              <w:bottom w:val="single" w:sz="6" w:space="0" w:color="000000"/>
            </w:tcBorders>
          </w:tcPr>
          <w:p>
            <w:pPr>
              <w:pStyle w:val="TableParagraph"/>
              <w:spacing w:line="175" w:lineRule="exact" w:before="20"/>
              <w:ind w:right="50"/>
              <w:jc w:val="right"/>
              <w:rPr>
                <w:sz w:val="16"/>
              </w:rPr>
            </w:pPr>
            <w:r>
              <w:rPr>
                <w:spacing w:val="-5"/>
                <w:w w:val="105"/>
                <w:sz w:val="16"/>
              </w:rPr>
              <w:t>5%</w:t>
            </w:r>
          </w:p>
        </w:tc>
        <w:tc>
          <w:tcPr>
            <w:tcW w:w="166" w:type="dxa"/>
          </w:tcPr>
          <w:p>
            <w:pPr>
              <w:pStyle w:val="TableParagraph"/>
              <w:rPr>
                <w:rFonts w:ascii="Times New Roman"/>
                <w:sz w:val="14"/>
              </w:rPr>
            </w:pPr>
          </w:p>
        </w:tc>
        <w:tc>
          <w:tcPr>
            <w:tcW w:w="676" w:type="dxa"/>
            <w:tcBorders>
              <w:bottom w:val="single" w:sz="6" w:space="0" w:color="000000"/>
            </w:tcBorders>
          </w:tcPr>
          <w:p>
            <w:pPr>
              <w:pStyle w:val="TableParagraph"/>
              <w:spacing w:line="175" w:lineRule="exact" w:before="20"/>
              <w:ind w:right="47"/>
              <w:jc w:val="right"/>
              <w:rPr>
                <w:sz w:val="16"/>
              </w:rPr>
            </w:pPr>
            <w:r>
              <w:rPr>
                <w:spacing w:val="-5"/>
                <w:w w:val="105"/>
                <w:sz w:val="16"/>
              </w:rPr>
              <w:t>37</w:t>
            </w:r>
          </w:p>
        </w:tc>
        <w:tc>
          <w:tcPr>
            <w:tcW w:w="165" w:type="dxa"/>
          </w:tcPr>
          <w:p>
            <w:pPr>
              <w:pStyle w:val="TableParagraph"/>
              <w:rPr>
                <w:rFonts w:ascii="Times New Roman"/>
                <w:sz w:val="14"/>
              </w:rPr>
            </w:pPr>
          </w:p>
        </w:tc>
        <w:tc>
          <w:tcPr>
            <w:tcW w:w="676" w:type="dxa"/>
            <w:tcBorders>
              <w:bottom w:val="single" w:sz="6" w:space="0" w:color="000000"/>
            </w:tcBorders>
          </w:tcPr>
          <w:p>
            <w:pPr>
              <w:pStyle w:val="TableParagraph"/>
              <w:spacing w:line="175" w:lineRule="exact" w:before="20"/>
              <w:ind w:right="53"/>
              <w:jc w:val="right"/>
              <w:rPr>
                <w:sz w:val="16"/>
              </w:rPr>
            </w:pPr>
            <w:r>
              <w:rPr>
                <w:spacing w:val="-5"/>
                <w:w w:val="105"/>
                <w:sz w:val="16"/>
              </w:rPr>
              <w:t>46%</w:t>
            </w:r>
          </w:p>
        </w:tc>
        <w:tc>
          <w:tcPr>
            <w:tcW w:w="165" w:type="dxa"/>
          </w:tcPr>
          <w:p>
            <w:pPr>
              <w:pStyle w:val="TableParagraph"/>
              <w:rPr>
                <w:rFonts w:ascii="Times New Roman"/>
                <w:sz w:val="14"/>
              </w:rPr>
            </w:pPr>
          </w:p>
        </w:tc>
        <w:tc>
          <w:tcPr>
            <w:tcW w:w="780" w:type="dxa"/>
            <w:tcBorders>
              <w:bottom w:val="single" w:sz="6" w:space="0" w:color="000000"/>
            </w:tcBorders>
          </w:tcPr>
          <w:p>
            <w:pPr>
              <w:pStyle w:val="TableParagraph"/>
              <w:spacing w:line="175" w:lineRule="exact" w:before="20"/>
              <w:ind w:right="51"/>
              <w:jc w:val="right"/>
              <w:rPr>
                <w:sz w:val="16"/>
              </w:rPr>
            </w:pPr>
            <w:r>
              <w:rPr>
                <w:spacing w:val="-2"/>
                <w:w w:val="105"/>
                <w:sz w:val="16"/>
              </w:rPr>
              <w:t>10.1%</w:t>
            </w:r>
          </w:p>
        </w:tc>
        <w:tc>
          <w:tcPr>
            <w:tcW w:w="165" w:type="dxa"/>
          </w:tcPr>
          <w:p>
            <w:pPr>
              <w:pStyle w:val="TableParagraph"/>
              <w:rPr>
                <w:rFonts w:ascii="Times New Roman"/>
                <w:sz w:val="14"/>
              </w:rPr>
            </w:pPr>
          </w:p>
        </w:tc>
        <w:tc>
          <w:tcPr>
            <w:tcW w:w="855" w:type="dxa"/>
            <w:tcBorders>
              <w:bottom w:val="single" w:sz="6" w:space="0" w:color="000000"/>
            </w:tcBorders>
          </w:tcPr>
          <w:p>
            <w:pPr>
              <w:pStyle w:val="TableParagraph"/>
              <w:spacing w:line="175" w:lineRule="exact" w:before="20"/>
              <w:ind w:right="51"/>
              <w:jc w:val="right"/>
              <w:rPr>
                <w:sz w:val="16"/>
              </w:rPr>
            </w:pPr>
            <w:r>
              <w:rPr>
                <w:spacing w:val="-4"/>
                <w:w w:val="105"/>
                <w:sz w:val="16"/>
              </w:rPr>
              <w:t>8.0%</w:t>
            </w:r>
          </w:p>
        </w:tc>
        <w:tc>
          <w:tcPr>
            <w:tcW w:w="165" w:type="dxa"/>
          </w:tcPr>
          <w:p>
            <w:pPr>
              <w:pStyle w:val="TableParagraph"/>
              <w:rPr>
                <w:rFonts w:ascii="Times New Roman"/>
                <w:sz w:val="14"/>
              </w:rPr>
            </w:pPr>
          </w:p>
        </w:tc>
        <w:tc>
          <w:tcPr>
            <w:tcW w:w="855" w:type="dxa"/>
            <w:tcBorders>
              <w:bottom w:val="single" w:sz="6" w:space="0" w:color="000000"/>
            </w:tcBorders>
          </w:tcPr>
          <w:p>
            <w:pPr>
              <w:pStyle w:val="TableParagraph"/>
              <w:spacing w:line="175" w:lineRule="exact" w:before="20"/>
              <w:ind w:right="51"/>
              <w:jc w:val="right"/>
              <w:rPr>
                <w:sz w:val="16"/>
              </w:rPr>
            </w:pPr>
            <w:r>
              <w:rPr>
                <w:spacing w:val="-4"/>
                <w:w w:val="105"/>
                <w:sz w:val="16"/>
              </w:rPr>
              <w:t>0.0%</w:t>
            </w:r>
          </w:p>
        </w:tc>
      </w:tr>
      <w:tr>
        <w:trPr>
          <w:trHeight w:val="200" w:hRule="atLeast"/>
        </w:trPr>
        <w:tc>
          <w:tcPr>
            <w:tcW w:w="1290" w:type="dxa"/>
            <w:tcBorders>
              <w:top w:val="single" w:sz="6" w:space="0" w:color="000000"/>
            </w:tcBorders>
          </w:tcPr>
          <w:p>
            <w:pPr>
              <w:pStyle w:val="TableParagraph"/>
              <w:spacing w:line="165" w:lineRule="exact" w:before="15"/>
              <w:ind w:left="44"/>
              <w:rPr>
                <w:rFonts w:ascii="Arial"/>
                <w:b/>
                <w:sz w:val="16"/>
              </w:rPr>
            </w:pPr>
            <w:r>
              <w:rPr>
                <w:rFonts w:ascii="Arial"/>
                <w:b/>
                <w:w w:val="105"/>
                <w:sz w:val="16"/>
              </w:rPr>
              <w:t>Total,</w:t>
            </w:r>
            <w:r>
              <w:rPr>
                <w:rFonts w:ascii="Arial"/>
                <w:b/>
                <w:spacing w:val="-8"/>
                <w:w w:val="105"/>
                <w:sz w:val="16"/>
              </w:rPr>
              <w:t> </w:t>
            </w:r>
            <w:r>
              <w:rPr>
                <w:rFonts w:ascii="Arial"/>
                <w:b/>
                <w:w w:val="105"/>
                <w:sz w:val="16"/>
              </w:rPr>
              <w:t>All</w:t>
            </w:r>
            <w:r>
              <w:rPr>
                <w:rFonts w:ascii="Arial"/>
                <w:b/>
                <w:spacing w:val="-8"/>
                <w:w w:val="105"/>
                <w:sz w:val="16"/>
              </w:rPr>
              <w:t> </w:t>
            </w:r>
            <w:r>
              <w:rPr>
                <w:rFonts w:ascii="Arial"/>
                <w:b/>
                <w:spacing w:val="-2"/>
                <w:w w:val="105"/>
                <w:sz w:val="16"/>
              </w:rPr>
              <w:t>Sizes</w:t>
            </w:r>
          </w:p>
        </w:tc>
        <w:tc>
          <w:tcPr>
            <w:tcW w:w="165" w:type="dxa"/>
          </w:tcPr>
          <w:p>
            <w:pPr>
              <w:pStyle w:val="TableParagraph"/>
              <w:rPr>
                <w:rFonts w:ascii="Times New Roman"/>
                <w:sz w:val="12"/>
              </w:rPr>
            </w:pPr>
          </w:p>
        </w:tc>
        <w:tc>
          <w:tcPr>
            <w:tcW w:w="676" w:type="dxa"/>
            <w:tcBorders>
              <w:top w:val="single" w:sz="6" w:space="0" w:color="000000"/>
            </w:tcBorders>
          </w:tcPr>
          <w:p>
            <w:pPr>
              <w:pStyle w:val="TableParagraph"/>
              <w:spacing w:line="165" w:lineRule="exact" w:before="15"/>
              <w:ind w:right="42"/>
              <w:jc w:val="right"/>
              <w:rPr>
                <w:rFonts w:ascii="Arial"/>
                <w:b/>
                <w:sz w:val="16"/>
              </w:rPr>
            </w:pPr>
            <w:r>
              <w:rPr>
                <w:rFonts w:ascii="Arial"/>
                <w:b/>
                <w:spacing w:val="-4"/>
                <w:w w:val="105"/>
                <w:sz w:val="16"/>
              </w:rPr>
              <w:t>7,083</w:t>
            </w:r>
          </w:p>
        </w:tc>
        <w:tc>
          <w:tcPr>
            <w:tcW w:w="165" w:type="dxa"/>
          </w:tcPr>
          <w:p>
            <w:pPr>
              <w:pStyle w:val="TableParagraph"/>
              <w:rPr>
                <w:rFonts w:ascii="Times New Roman"/>
                <w:sz w:val="12"/>
              </w:rPr>
            </w:pPr>
          </w:p>
        </w:tc>
        <w:tc>
          <w:tcPr>
            <w:tcW w:w="676" w:type="dxa"/>
            <w:tcBorders>
              <w:top w:val="single" w:sz="6" w:space="0" w:color="000000"/>
            </w:tcBorders>
          </w:tcPr>
          <w:p>
            <w:pPr>
              <w:pStyle w:val="TableParagraph"/>
              <w:spacing w:line="165" w:lineRule="exact" w:before="15"/>
              <w:ind w:right="35"/>
              <w:jc w:val="right"/>
              <w:rPr>
                <w:rFonts w:ascii="Arial"/>
                <w:b/>
                <w:sz w:val="16"/>
              </w:rPr>
            </w:pPr>
            <w:r>
              <w:rPr>
                <w:rFonts w:ascii="Arial"/>
                <w:b/>
                <w:spacing w:val="-4"/>
                <w:w w:val="105"/>
                <w:sz w:val="16"/>
              </w:rPr>
              <w:t>100%</w:t>
            </w:r>
          </w:p>
        </w:tc>
        <w:tc>
          <w:tcPr>
            <w:tcW w:w="166" w:type="dxa"/>
          </w:tcPr>
          <w:p>
            <w:pPr>
              <w:pStyle w:val="TableParagraph"/>
              <w:rPr>
                <w:rFonts w:ascii="Times New Roman"/>
                <w:sz w:val="12"/>
              </w:rPr>
            </w:pPr>
          </w:p>
        </w:tc>
        <w:tc>
          <w:tcPr>
            <w:tcW w:w="676" w:type="dxa"/>
            <w:tcBorders>
              <w:top w:val="single" w:sz="6" w:space="0" w:color="000000"/>
            </w:tcBorders>
          </w:tcPr>
          <w:p>
            <w:pPr>
              <w:pStyle w:val="TableParagraph"/>
              <w:spacing w:line="165" w:lineRule="exact" w:before="15"/>
              <w:ind w:right="47"/>
              <w:jc w:val="right"/>
              <w:rPr>
                <w:rFonts w:ascii="Arial"/>
                <w:b/>
                <w:sz w:val="16"/>
              </w:rPr>
            </w:pPr>
            <w:r>
              <w:rPr>
                <w:rFonts w:ascii="Arial"/>
                <w:b/>
                <w:spacing w:val="-5"/>
                <w:w w:val="105"/>
                <w:sz w:val="16"/>
              </w:rPr>
              <w:t>81</w:t>
            </w:r>
          </w:p>
        </w:tc>
        <w:tc>
          <w:tcPr>
            <w:tcW w:w="165" w:type="dxa"/>
          </w:tcPr>
          <w:p>
            <w:pPr>
              <w:pStyle w:val="TableParagraph"/>
              <w:rPr>
                <w:rFonts w:ascii="Times New Roman"/>
                <w:sz w:val="12"/>
              </w:rPr>
            </w:pPr>
          </w:p>
        </w:tc>
        <w:tc>
          <w:tcPr>
            <w:tcW w:w="676" w:type="dxa"/>
            <w:tcBorders>
              <w:top w:val="single" w:sz="6" w:space="0" w:color="000000"/>
            </w:tcBorders>
          </w:tcPr>
          <w:p>
            <w:pPr>
              <w:pStyle w:val="TableParagraph"/>
              <w:spacing w:line="165" w:lineRule="exact" w:before="15"/>
              <w:ind w:right="38"/>
              <w:jc w:val="right"/>
              <w:rPr>
                <w:rFonts w:ascii="Arial"/>
                <w:b/>
                <w:sz w:val="16"/>
              </w:rPr>
            </w:pPr>
            <w:r>
              <w:rPr>
                <w:rFonts w:ascii="Arial"/>
                <w:b/>
                <w:spacing w:val="-4"/>
                <w:w w:val="105"/>
                <w:sz w:val="16"/>
              </w:rPr>
              <w:t>100%</w:t>
            </w:r>
          </w:p>
        </w:tc>
        <w:tc>
          <w:tcPr>
            <w:tcW w:w="165" w:type="dxa"/>
          </w:tcPr>
          <w:p>
            <w:pPr>
              <w:pStyle w:val="TableParagraph"/>
              <w:rPr>
                <w:rFonts w:ascii="Times New Roman"/>
                <w:sz w:val="12"/>
              </w:rPr>
            </w:pPr>
          </w:p>
        </w:tc>
        <w:tc>
          <w:tcPr>
            <w:tcW w:w="780" w:type="dxa"/>
            <w:tcBorders>
              <w:top w:val="single" w:sz="6" w:space="0" w:color="000000"/>
            </w:tcBorders>
          </w:tcPr>
          <w:p>
            <w:pPr>
              <w:pStyle w:val="TableParagraph"/>
              <w:spacing w:line="165" w:lineRule="exact" w:before="15"/>
              <w:ind w:right="36"/>
              <w:jc w:val="right"/>
              <w:rPr>
                <w:rFonts w:ascii="Arial"/>
                <w:b/>
                <w:sz w:val="16"/>
              </w:rPr>
            </w:pPr>
            <w:r>
              <w:rPr>
                <w:rFonts w:ascii="Arial"/>
                <w:b/>
                <w:spacing w:val="-4"/>
                <w:w w:val="105"/>
                <w:sz w:val="16"/>
              </w:rPr>
              <w:t>1.1%</w:t>
            </w:r>
          </w:p>
        </w:tc>
        <w:tc>
          <w:tcPr>
            <w:tcW w:w="165" w:type="dxa"/>
          </w:tcPr>
          <w:p>
            <w:pPr>
              <w:pStyle w:val="TableParagraph"/>
              <w:rPr>
                <w:rFonts w:ascii="Times New Roman"/>
                <w:sz w:val="12"/>
              </w:rPr>
            </w:pPr>
          </w:p>
        </w:tc>
        <w:tc>
          <w:tcPr>
            <w:tcW w:w="855" w:type="dxa"/>
            <w:tcBorders>
              <w:top w:val="single" w:sz="6" w:space="0" w:color="000000"/>
            </w:tcBorders>
          </w:tcPr>
          <w:p>
            <w:pPr>
              <w:pStyle w:val="TableParagraph"/>
              <w:spacing w:line="165" w:lineRule="exact" w:before="15"/>
              <w:ind w:right="36"/>
              <w:jc w:val="right"/>
              <w:rPr>
                <w:rFonts w:ascii="Arial"/>
                <w:b/>
                <w:sz w:val="16"/>
              </w:rPr>
            </w:pPr>
            <w:r>
              <w:rPr>
                <w:rFonts w:ascii="Arial"/>
                <w:b/>
                <w:spacing w:val="-4"/>
                <w:w w:val="105"/>
                <w:sz w:val="16"/>
              </w:rPr>
              <w:t>8.4%</w:t>
            </w:r>
          </w:p>
        </w:tc>
        <w:tc>
          <w:tcPr>
            <w:tcW w:w="165" w:type="dxa"/>
          </w:tcPr>
          <w:p>
            <w:pPr>
              <w:pStyle w:val="TableParagraph"/>
              <w:rPr>
                <w:rFonts w:ascii="Times New Roman"/>
                <w:sz w:val="12"/>
              </w:rPr>
            </w:pPr>
          </w:p>
        </w:tc>
        <w:tc>
          <w:tcPr>
            <w:tcW w:w="855" w:type="dxa"/>
            <w:tcBorders>
              <w:top w:val="single" w:sz="6" w:space="0" w:color="000000"/>
            </w:tcBorders>
          </w:tcPr>
          <w:p>
            <w:pPr>
              <w:pStyle w:val="TableParagraph"/>
              <w:spacing w:line="165" w:lineRule="exact" w:before="15"/>
              <w:ind w:right="36"/>
              <w:jc w:val="right"/>
              <w:rPr>
                <w:rFonts w:ascii="Arial"/>
                <w:b/>
                <w:sz w:val="16"/>
              </w:rPr>
            </w:pPr>
            <w:r>
              <w:rPr>
                <w:rFonts w:ascii="Arial"/>
                <w:b/>
                <w:spacing w:val="-4"/>
                <w:w w:val="105"/>
                <w:sz w:val="16"/>
              </w:rPr>
              <w:t>0.6%</w:t>
            </w:r>
          </w:p>
        </w:tc>
      </w:tr>
    </w:tbl>
    <w:p>
      <w:pPr>
        <w:pStyle w:val="BodyText"/>
        <w:rPr>
          <w:rFonts w:ascii="Arial"/>
          <w:b/>
          <w:sz w:val="18"/>
        </w:rPr>
      </w:pPr>
      <w:r>
        <w:rPr>
          <w:rFonts w:ascii="Arial"/>
          <w:b/>
          <w:sz w:val="18"/>
        </w:rPr>
        <mc:AlternateContent>
          <mc:Choice Requires="wps">
            <w:drawing>
              <wp:anchor distT="0" distB="0" distL="0" distR="0" allowOverlap="1" layoutInCell="1" locked="0" behindDoc="1" simplePos="0" relativeHeight="487589376">
                <wp:simplePos x="0" y="0"/>
                <wp:positionH relativeFrom="page">
                  <wp:posOffset>1097280</wp:posOffset>
                </wp:positionH>
                <wp:positionV relativeFrom="paragraph">
                  <wp:posOffset>147017</wp:posOffset>
                </wp:positionV>
                <wp:extent cx="5400040" cy="952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5400040" cy="9525"/>
                          <a:chExt cx="5400040" cy="9525"/>
                        </a:xfrm>
                      </wpg:grpSpPr>
                      <wps:wsp>
                        <wps:cNvPr id="22" name="Graphic 22"/>
                        <wps:cNvSpPr/>
                        <wps:spPr>
                          <a:xfrm>
                            <a:off x="4753" y="0"/>
                            <a:ext cx="5395595" cy="9525"/>
                          </a:xfrm>
                          <a:custGeom>
                            <a:avLst/>
                            <a:gdLst/>
                            <a:ahLst/>
                            <a:cxnLst/>
                            <a:rect l="l" t="t" r="r" b="b"/>
                            <a:pathLst>
                              <a:path w="5395595" h="9525">
                                <a:moveTo>
                                  <a:pt x="5395286" y="0"/>
                                </a:moveTo>
                                <a:lnTo>
                                  <a:pt x="0" y="0"/>
                                </a:lnTo>
                                <a:lnTo>
                                  <a:pt x="0" y="9307"/>
                                </a:lnTo>
                                <a:lnTo>
                                  <a:pt x="5395286" y="9307"/>
                                </a:lnTo>
                                <a:lnTo>
                                  <a:pt x="5395286"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0" y="0"/>
                            <a:ext cx="5400040" cy="9525"/>
                          </a:xfrm>
                          <a:custGeom>
                            <a:avLst/>
                            <a:gdLst/>
                            <a:ahLst/>
                            <a:cxnLst/>
                            <a:rect l="l" t="t" r="r" b="b"/>
                            <a:pathLst>
                              <a:path w="5400040" h="9525">
                                <a:moveTo>
                                  <a:pt x="5400040" y="0"/>
                                </a:moveTo>
                                <a:lnTo>
                                  <a:pt x="0" y="0"/>
                                </a:lnTo>
                                <a:lnTo>
                                  <a:pt x="0" y="9308"/>
                                </a:lnTo>
                                <a:lnTo>
                                  <a:pt x="5400040" y="9308"/>
                                </a:lnTo>
                                <a:lnTo>
                                  <a:pt x="54000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6.400002pt;margin-top:11.57615pt;width:425.2pt;height:.75pt;mso-position-horizontal-relative:page;mso-position-vertical-relative:paragraph;z-index:-15727104;mso-wrap-distance-left:0;mso-wrap-distance-right:0" id="docshapegroup15" coordorigin="1728,232" coordsize="8504,15">
                <v:rect style="position:absolute;left:1735;top:231;width:8497;height:15" id="docshape16" filled="true" fillcolor="#000000" stroked="false">
                  <v:fill type="solid"/>
                </v:rect>
                <v:rect style="position:absolute;left:1728;top:231;width:8504;height:15" id="docshape17" filled="true" fillcolor="#000000" stroked="false">
                  <v:fill type="solid"/>
                </v:rect>
                <w10:wrap type="topAndBottom"/>
              </v:group>
            </w:pict>
          </mc:Fallback>
        </mc:AlternateContent>
      </w:r>
    </w:p>
    <w:p>
      <w:pPr>
        <w:spacing w:before="14"/>
        <w:ind w:left="1008" w:right="0" w:firstLine="0"/>
        <w:jc w:val="left"/>
        <w:rPr>
          <w:rFonts w:ascii="Arial MT"/>
          <w:sz w:val="16"/>
        </w:rPr>
      </w:pPr>
      <w:r>
        <w:rPr>
          <w:rFonts w:ascii="Arial MT"/>
          <w:spacing w:val="-2"/>
          <w:sz w:val="16"/>
        </w:rPr>
        <w:t>Notes:</w:t>
      </w:r>
    </w:p>
    <w:p>
      <w:pPr>
        <w:pStyle w:val="ListParagraph"/>
        <w:numPr>
          <w:ilvl w:val="0"/>
          <w:numId w:val="1"/>
        </w:numPr>
        <w:tabs>
          <w:tab w:pos="1292" w:val="left" w:leader="none"/>
        </w:tabs>
        <w:spacing w:line="183" w:lineRule="exact" w:before="1" w:after="0"/>
        <w:ind w:left="1292" w:right="0" w:hanging="284"/>
        <w:jc w:val="both"/>
        <w:rPr>
          <w:sz w:val="16"/>
        </w:rPr>
      </w:pPr>
      <w:r>
        <w:rPr>
          <w:sz w:val="16"/>
        </w:rPr>
        <w:t>Includes</w:t>
      </w:r>
      <w:r>
        <w:rPr>
          <w:spacing w:val="-7"/>
          <w:sz w:val="16"/>
        </w:rPr>
        <w:t> </w:t>
      </w:r>
      <w:r>
        <w:rPr>
          <w:sz w:val="16"/>
        </w:rPr>
        <w:t>the</w:t>
      </w:r>
      <w:r>
        <w:rPr>
          <w:spacing w:val="-3"/>
          <w:sz w:val="16"/>
        </w:rPr>
        <w:t> </w:t>
      </w:r>
      <w:r>
        <w:rPr>
          <w:sz w:val="16"/>
        </w:rPr>
        <w:t>number</w:t>
      </w:r>
      <w:r>
        <w:rPr>
          <w:spacing w:val="-4"/>
          <w:sz w:val="16"/>
        </w:rPr>
        <w:t> </w:t>
      </w:r>
      <w:r>
        <w:rPr>
          <w:sz w:val="16"/>
        </w:rPr>
        <w:t>of</w:t>
      </w:r>
      <w:r>
        <w:rPr>
          <w:spacing w:val="-4"/>
          <w:sz w:val="16"/>
        </w:rPr>
        <w:t> </w:t>
      </w:r>
      <w:r>
        <w:rPr>
          <w:sz w:val="16"/>
        </w:rPr>
        <w:t>units,</w:t>
      </w:r>
      <w:r>
        <w:rPr>
          <w:spacing w:val="-6"/>
          <w:sz w:val="16"/>
        </w:rPr>
        <w:t> </w:t>
      </w:r>
      <w:r>
        <w:rPr>
          <w:sz w:val="16"/>
        </w:rPr>
        <w:t>by</w:t>
      </w:r>
      <w:r>
        <w:rPr>
          <w:spacing w:val="-2"/>
          <w:sz w:val="16"/>
        </w:rPr>
        <w:t> </w:t>
      </w:r>
      <w:r>
        <w:rPr>
          <w:sz w:val="16"/>
        </w:rPr>
        <w:t>unit</w:t>
      </w:r>
      <w:r>
        <w:rPr>
          <w:spacing w:val="-4"/>
          <w:sz w:val="16"/>
        </w:rPr>
        <w:t> </w:t>
      </w:r>
      <w:r>
        <w:rPr>
          <w:sz w:val="16"/>
        </w:rPr>
        <w:t>type,</w:t>
      </w:r>
      <w:r>
        <w:rPr>
          <w:spacing w:val="-5"/>
          <w:sz w:val="16"/>
        </w:rPr>
        <w:t> </w:t>
      </w:r>
      <w:r>
        <w:rPr>
          <w:sz w:val="16"/>
        </w:rPr>
        <w:t>reported</w:t>
      </w:r>
      <w:r>
        <w:rPr>
          <w:spacing w:val="-3"/>
          <w:sz w:val="16"/>
        </w:rPr>
        <w:t> </w:t>
      </w:r>
      <w:r>
        <w:rPr>
          <w:sz w:val="16"/>
        </w:rPr>
        <w:t>by</w:t>
      </w:r>
      <w:r>
        <w:rPr>
          <w:spacing w:val="-2"/>
          <w:sz w:val="16"/>
        </w:rPr>
        <w:t> </w:t>
      </w:r>
      <w:r>
        <w:rPr>
          <w:sz w:val="16"/>
        </w:rPr>
        <w:t>respondents</w:t>
      </w:r>
      <w:r>
        <w:rPr>
          <w:spacing w:val="-4"/>
          <w:sz w:val="16"/>
        </w:rPr>
        <w:t> </w:t>
      </w:r>
      <w:r>
        <w:rPr>
          <w:sz w:val="16"/>
        </w:rPr>
        <w:t>as</w:t>
      </w:r>
      <w:r>
        <w:rPr>
          <w:spacing w:val="-4"/>
          <w:sz w:val="16"/>
        </w:rPr>
        <w:t> </w:t>
      </w:r>
      <w:r>
        <w:rPr>
          <w:sz w:val="16"/>
        </w:rPr>
        <w:t>rented</w:t>
      </w:r>
      <w:r>
        <w:rPr>
          <w:spacing w:val="-4"/>
          <w:sz w:val="16"/>
        </w:rPr>
        <w:t> </w:t>
      </w:r>
      <w:r>
        <w:rPr>
          <w:sz w:val="16"/>
        </w:rPr>
        <w:t>on</w:t>
      </w:r>
      <w:r>
        <w:rPr>
          <w:spacing w:val="-3"/>
          <w:sz w:val="16"/>
        </w:rPr>
        <w:t> </w:t>
      </w:r>
      <w:r>
        <w:rPr>
          <w:sz w:val="16"/>
        </w:rPr>
        <w:t>a</w:t>
      </w:r>
      <w:r>
        <w:rPr>
          <w:spacing w:val="-6"/>
          <w:sz w:val="16"/>
        </w:rPr>
        <w:t> </w:t>
      </w:r>
      <w:r>
        <w:rPr>
          <w:sz w:val="16"/>
        </w:rPr>
        <w:t>per</w:t>
      </w:r>
      <w:r>
        <w:rPr>
          <w:spacing w:val="-4"/>
          <w:sz w:val="16"/>
        </w:rPr>
        <w:t> </w:t>
      </w:r>
      <w:r>
        <w:rPr>
          <w:sz w:val="16"/>
        </w:rPr>
        <w:t>unit</w:t>
      </w:r>
      <w:r>
        <w:rPr>
          <w:spacing w:val="-4"/>
          <w:sz w:val="16"/>
        </w:rPr>
        <w:t> </w:t>
      </w:r>
      <w:r>
        <w:rPr>
          <w:sz w:val="16"/>
        </w:rPr>
        <w:t>basis</w:t>
      </w:r>
      <w:r>
        <w:rPr>
          <w:spacing w:val="-4"/>
          <w:sz w:val="16"/>
        </w:rPr>
        <w:t> </w:t>
      </w:r>
      <w:r>
        <w:rPr>
          <w:sz w:val="16"/>
        </w:rPr>
        <w:t>(i.e.,</w:t>
      </w:r>
      <w:r>
        <w:rPr>
          <w:spacing w:val="-2"/>
          <w:sz w:val="16"/>
        </w:rPr>
        <w:t> </w:t>
      </w:r>
      <w:r>
        <w:rPr>
          <w:sz w:val="16"/>
        </w:rPr>
        <w:t>unit</w:t>
      </w:r>
      <w:r>
        <w:rPr>
          <w:spacing w:val="-4"/>
          <w:sz w:val="16"/>
        </w:rPr>
        <w:t> </w:t>
      </w:r>
      <w:r>
        <w:rPr>
          <w:spacing w:val="-2"/>
          <w:sz w:val="16"/>
        </w:rPr>
        <w:t>lease).</w:t>
      </w:r>
    </w:p>
    <w:p>
      <w:pPr>
        <w:pStyle w:val="ListParagraph"/>
        <w:numPr>
          <w:ilvl w:val="0"/>
          <w:numId w:val="1"/>
        </w:numPr>
        <w:tabs>
          <w:tab w:pos="1292" w:val="left" w:leader="none"/>
        </w:tabs>
        <w:spacing w:line="240" w:lineRule="auto" w:before="0" w:after="0"/>
        <w:ind w:left="1008" w:right="1199" w:firstLine="0"/>
        <w:jc w:val="both"/>
        <w:rPr>
          <w:sz w:val="16"/>
        </w:rPr>
      </w:pPr>
      <w:r>
        <w:rPr>
          <w:sz w:val="16"/>
        </w:rPr>
        <w:t>Includes</w:t>
      </w:r>
      <w:r>
        <w:rPr>
          <w:spacing w:val="-3"/>
          <w:sz w:val="16"/>
        </w:rPr>
        <w:t> </w:t>
      </w:r>
      <w:r>
        <w:rPr>
          <w:sz w:val="16"/>
        </w:rPr>
        <w:t>the</w:t>
      </w:r>
      <w:r>
        <w:rPr>
          <w:spacing w:val="-2"/>
          <w:sz w:val="16"/>
        </w:rPr>
        <w:t> </w:t>
      </w:r>
      <w:r>
        <w:rPr>
          <w:sz w:val="16"/>
        </w:rPr>
        <w:t>number</w:t>
      </w:r>
      <w:r>
        <w:rPr>
          <w:spacing w:val="-2"/>
          <w:sz w:val="16"/>
        </w:rPr>
        <w:t> </w:t>
      </w:r>
      <w:r>
        <w:rPr>
          <w:sz w:val="16"/>
        </w:rPr>
        <w:t>of</w:t>
      </w:r>
      <w:r>
        <w:rPr>
          <w:spacing w:val="-3"/>
          <w:sz w:val="16"/>
        </w:rPr>
        <w:t> </w:t>
      </w:r>
      <w:r>
        <w:rPr>
          <w:sz w:val="16"/>
        </w:rPr>
        <w:t>units reported</w:t>
      </w:r>
      <w:r>
        <w:rPr>
          <w:spacing w:val="-2"/>
          <w:sz w:val="16"/>
        </w:rPr>
        <w:t> </w:t>
      </w:r>
      <w:r>
        <w:rPr>
          <w:sz w:val="16"/>
        </w:rPr>
        <w:t>as</w:t>
      </w:r>
      <w:r>
        <w:rPr>
          <w:spacing w:val="-3"/>
          <w:sz w:val="16"/>
        </w:rPr>
        <w:t> </w:t>
      </w:r>
      <w:r>
        <w:rPr>
          <w:sz w:val="16"/>
        </w:rPr>
        <w:t>vacant,</w:t>
      </w:r>
      <w:r>
        <w:rPr>
          <w:spacing w:val="-3"/>
          <w:sz w:val="16"/>
        </w:rPr>
        <w:t> </w:t>
      </w:r>
      <w:r>
        <w:rPr>
          <w:sz w:val="16"/>
        </w:rPr>
        <w:t>by unit</w:t>
      </w:r>
      <w:r>
        <w:rPr>
          <w:spacing w:val="-3"/>
          <w:sz w:val="16"/>
        </w:rPr>
        <w:t> </w:t>
      </w:r>
      <w:r>
        <w:rPr>
          <w:sz w:val="16"/>
        </w:rPr>
        <w:t>type,</w:t>
      </w:r>
      <w:r>
        <w:rPr>
          <w:spacing w:val="-3"/>
          <w:sz w:val="16"/>
        </w:rPr>
        <w:t> </w:t>
      </w:r>
      <w:r>
        <w:rPr>
          <w:sz w:val="16"/>
        </w:rPr>
        <w:t>as</w:t>
      </w:r>
      <w:r>
        <w:rPr>
          <w:spacing w:val="-3"/>
          <w:sz w:val="16"/>
        </w:rPr>
        <w:t> </w:t>
      </w:r>
      <w:r>
        <w:rPr>
          <w:sz w:val="16"/>
        </w:rPr>
        <w:t>reported</w:t>
      </w:r>
      <w:r>
        <w:rPr>
          <w:spacing w:val="-2"/>
          <w:sz w:val="16"/>
        </w:rPr>
        <w:t> </w:t>
      </w:r>
      <w:r>
        <w:rPr>
          <w:sz w:val="16"/>
        </w:rPr>
        <w:t>by</w:t>
      </w:r>
      <w:r>
        <w:rPr>
          <w:spacing w:val="-3"/>
          <w:sz w:val="16"/>
        </w:rPr>
        <w:t> </w:t>
      </w:r>
      <w:r>
        <w:rPr>
          <w:sz w:val="16"/>
        </w:rPr>
        <w:t>survey</w:t>
      </w:r>
      <w:r>
        <w:rPr>
          <w:spacing w:val="-3"/>
          <w:sz w:val="16"/>
        </w:rPr>
        <w:t> </w:t>
      </w:r>
      <w:r>
        <w:rPr>
          <w:sz w:val="16"/>
        </w:rPr>
        <w:t>respondents.</w:t>
      </w:r>
      <w:r>
        <w:rPr>
          <w:spacing w:val="39"/>
          <w:sz w:val="16"/>
        </w:rPr>
        <w:t> </w:t>
      </w:r>
      <w:r>
        <w:rPr>
          <w:sz w:val="16"/>
        </w:rPr>
        <w:t>May</w:t>
      </w:r>
      <w:r>
        <w:rPr>
          <w:spacing w:val="-3"/>
          <w:sz w:val="16"/>
        </w:rPr>
        <w:t> </w:t>
      </w:r>
      <w:r>
        <w:rPr>
          <w:sz w:val="16"/>
        </w:rPr>
        <w:t>exclude</w:t>
      </w:r>
      <w:r>
        <w:rPr>
          <w:spacing w:val="-4"/>
          <w:sz w:val="16"/>
        </w:rPr>
        <w:t> </w:t>
      </w:r>
      <w:r>
        <w:rPr>
          <w:sz w:val="16"/>
        </w:rPr>
        <w:t>some units</w:t>
      </w:r>
      <w:r>
        <w:rPr>
          <w:spacing w:val="-2"/>
          <w:sz w:val="16"/>
        </w:rPr>
        <w:t> </w:t>
      </w:r>
      <w:r>
        <w:rPr>
          <w:sz w:val="16"/>
        </w:rPr>
        <w:t>in</w:t>
      </w:r>
      <w:r>
        <w:rPr>
          <w:spacing w:val="-3"/>
          <w:sz w:val="16"/>
        </w:rPr>
        <w:t> </w:t>
      </w:r>
      <w:r>
        <w:rPr>
          <w:sz w:val="16"/>
        </w:rPr>
        <w:t>cases</w:t>
      </w:r>
      <w:r>
        <w:rPr>
          <w:spacing w:val="-2"/>
          <w:sz w:val="16"/>
        </w:rPr>
        <w:t> </w:t>
      </w:r>
      <w:r>
        <w:rPr>
          <w:sz w:val="16"/>
        </w:rPr>
        <w:t>where</w:t>
      </w:r>
      <w:r>
        <w:rPr>
          <w:spacing w:val="-1"/>
          <w:sz w:val="16"/>
        </w:rPr>
        <w:t> </w:t>
      </w:r>
      <w:r>
        <w:rPr>
          <w:sz w:val="16"/>
        </w:rPr>
        <w:t>the</w:t>
      </w:r>
      <w:r>
        <w:rPr>
          <w:spacing w:val="-3"/>
          <w:sz w:val="16"/>
        </w:rPr>
        <w:t> </w:t>
      </w:r>
      <w:r>
        <w:rPr>
          <w:sz w:val="16"/>
        </w:rPr>
        <w:t>survey respondent reported</w:t>
      </w:r>
      <w:r>
        <w:rPr>
          <w:spacing w:val="-3"/>
          <w:sz w:val="16"/>
        </w:rPr>
        <w:t> </w:t>
      </w:r>
      <w:r>
        <w:rPr>
          <w:sz w:val="16"/>
        </w:rPr>
        <w:t>the</w:t>
      </w:r>
      <w:r>
        <w:rPr>
          <w:spacing w:val="-3"/>
          <w:sz w:val="16"/>
        </w:rPr>
        <w:t> </w:t>
      </w:r>
      <w:r>
        <w:rPr>
          <w:sz w:val="16"/>
        </w:rPr>
        <w:t>total</w:t>
      </w:r>
      <w:r>
        <w:rPr>
          <w:spacing w:val="-3"/>
          <w:sz w:val="16"/>
        </w:rPr>
        <w:t> </w:t>
      </w:r>
      <w:r>
        <w:rPr>
          <w:sz w:val="16"/>
        </w:rPr>
        <w:t>number</w:t>
      </w:r>
      <w:r>
        <w:rPr>
          <w:spacing w:val="-1"/>
          <w:sz w:val="16"/>
        </w:rPr>
        <w:t> </w:t>
      </w:r>
      <w:r>
        <w:rPr>
          <w:sz w:val="16"/>
        </w:rPr>
        <w:t>of units</w:t>
      </w:r>
      <w:r>
        <w:rPr>
          <w:spacing w:val="-2"/>
          <w:sz w:val="16"/>
        </w:rPr>
        <w:t> </w:t>
      </w:r>
      <w:r>
        <w:rPr>
          <w:sz w:val="16"/>
        </w:rPr>
        <w:t>but</w:t>
      </w:r>
      <w:r>
        <w:rPr>
          <w:spacing w:val="-2"/>
          <w:sz w:val="16"/>
        </w:rPr>
        <w:t> </w:t>
      </w:r>
      <w:r>
        <w:rPr>
          <w:sz w:val="16"/>
        </w:rPr>
        <w:t>did</w:t>
      </w:r>
      <w:r>
        <w:rPr>
          <w:spacing w:val="-1"/>
          <w:sz w:val="16"/>
        </w:rPr>
        <w:t> </w:t>
      </w:r>
      <w:r>
        <w:rPr>
          <w:sz w:val="16"/>
        </w:rPr>
        <w:t>not</w:t>
      </w:r>
      <w:r>
        <w:rPr>
          <w:spacing w:val="-2"/>
          <w:sz w:val="16"/>
        </w:rPr>
        <w:t> </w:t>
      </w:r>
      <w:r>
        <w:rPr>
          <w:sz w:val="16"/>
        </w:rPr>
        <w:t>report</w:t>
      </w:r>
      <w:r>
        <w:rPr>
          <w:spacing w:val="-2"/>
          <w:sz w:val="16"/>
        </w:rPr>
        <w:t> </w:t>
      </w:r>
      <w:r>
        <w:rPr>
          <w:sz w:val="16"/>
        </w:rPr>
        <w:t>the</w:t>
      </w:r>
      <w:r>
        <w:rPr>
          <w:spacing w:val="-1"/>
          <w:sz w:val="16"/>
        </w:rPr>
        <w:t> </w:t>
      </w:r>
      <w:r>
        <w:rPr>
          <w:sz w:val="16"/>
        </w:rPr>
        <w:t>associated</w:t>
      </w:r>
      <w:r>
        <w:rPr>
          <w:spacing w:val="-1"/>
          <w:sz w:val="16"/>
        </w:rPr>
        <w:t> </w:t>
      </w:r>
      <w:r>
        <w:rPr>
          <w:sz w:val="16"/>
        </w:rPr>
        <w:t>number</w:t>
      </w:r>
      <w:r>
        <w:rPr>
          <w:spacing w:val="-1"/>
          <w:sz w:val="16"/>
        </w:rPr>
        <w:t> </w:t>
      </w:r>
      <w:r>
        <w:rPr>
          <w:sz w:val="16"/>
        </w:rPr>
        <w:t>of vacant units.</w:t>
      </w:r>
    </w:p>
    <w:p>
      <w:pPr>
        <w:pStyle w:val="ListParagraph"/>
        <w:numPr>
          <w:ilvl w:val="0"/>
          <w:numId w:val="1"/>
        </w:numPr>
        <w:tabs>
          <w:tab w:pos="1284" w:val="left" w:leader="none"/>
        </w:tabs>
        <w:spacing w:line="240" w:lineRule="auto" w:before="0" w:after="0"/>
        <w:ind w:left="1008" w:right="1235" w:firstLine="0"/>
        <w:jc w:val="both"/>
        <w:rPr>
          <w:sz w:val="16"/>
        </w:rPr>
      </w:pPr>
      <w:r>
        <w:rPr>
          <w:sz w:val="16"/>
        </w:rPr>
        <w:t>The</w:t>
      </w:r>
      <w:r>
        <w:rPr>
          <w:spacing w:val="-5"/>
          <w:sz w:val="16"/>
        </w:rPr>
        <w:t> </w:t>
      </w:r>
      <w:r>
        <w:rPr>
          <w:sz w:val="16"/>
        </w:rPr>
        <w:t>vacancy</w:t>
      </w:r>
      <w:r>
        <w:rPr>
          <w:spacing w:val="-3"/>
          <w:sz w:val="16"/>
        </w:rPr>
        <w:t> </w:t>
      </w:r>
      <w:r>
        <w:rPr>
          <w:sz w:val="16"/>
        </w:rPr>
        <w:t>rate</w:t>
      </w:r>
      <w:r>
        <w:rPr>
          <w:spacing w:val="-4"/>
          <w:sz w:val="16"/>
        </w:rPr>
        <w:t> </w:t>
      </w:r>
      <w:r>
        <w:rPr>
          <w:sz w:val="16"/>
        </w:rPr>
        <w:t>for</w:t>
      </w:r>
      <w:r>
        <w:rPr>
          <w:spacing w:val="-2"/>
          <w:sz w:val="16"/>
        </w:rPr>
        <w:t> </w:t>
      </w:r>
      <w:r>
        <w:rPr>
          <w:sz w:val="16"/>
        </w:rPr>
        <w:t>unit-leased</w:t>
      </w:r>
      <w:r>
        <w:rPr>
          <w:spacing w:val="-2"/>
          <w:sz w:val="16"/>
        </w:rPr>
        <w:t> </w:t>
      </w:r>
      <w:r>
        <w:rPr>
          <w:sz w:val="16"/>
        </w:rPr>
        <w:t>apartments was</w:t>
      </w:r>
      <w:r>
        <w:rPr>
          <w:spacing w:val="-3"/>
          <w:sz w:val="16"/>
        </w:rPr>
        <w:t> </w:t>
      </w:r>
      <w:r>
        <w:rPr>
          <w:sz w:val="16"/>
        </w:rPr>
        <w:t>calculated</w:t>
      </w:r>
      <w:r>
        <w:rPr>
          <w:spacing w:val="-2"/>
          <w:sz w:val="16"/>
        </w:rPr>
        <w:t> </w:t>
      </w:r>
      <w:r>
        <w:rPr>
          <w:sz w:val="16"/>
        </w:rPr>
        <w:t>based</w:t>
      </w:r>
      <w:r>
        <w:rPr>
          <w:spacing w:val="-2"/>
          <w:sz w:val="16"/>
        </w:rPr>
        <w:t> </w:t>
      </w:r>
      <w:r>
        <w:rPr>
          <w:sz w:val="16"/>
        </w:rPr>
        <w:t>on</w:t>
      </w:r>
      <w:r>
        <w:rPr>
          <w:spacing w:val="-2"/>
          <w:sz w:val="16"/>
        </w:rPr>
        <w:t> </w:t>
      </w:r>
      <w:r>
        <w:rPr>
          <w:sz w:val="16"/>
        </w:rPr>
        <w:t>the</w:t>
      </w:r>
      <w:r>
        <w:rPr>
          <w:spacing w:val="-2"/>
          <w:sz w:val="16"/>
        </w:rPr>
        <w:t> </w:t>
      </w:r>
      <w:r>
        <w:rPr>
          <w:sz w:val="16"/>
        </w:rPr>
        <w:t>number</w:t>
      </w:r>
      <w:r>
        <w:rPr>
          <w:spacing w:val="-2"/>
          <w:sz w:val="16"/>
        </w:rPr>
        <w:t> </w:t>
      </w:r>
      <w:r>
        <w:rPr>
          <w:sz w:val="16"/>
        </w:rPr>
        <w:t>of</w:t>
      </w:r>
      <w:r>
        <w:rPr>
          <w:spacing w:val="-3"/>
          <w:sz w:val="16"/>
        </w:rPr>
        <w:t> </w:t>
      </w:r>
      <w:r>
        <w:rPr>
          <w:sz w:val="16"/>
        </w:rPr>
        <w:t>leased</w:t>
      </w:r>
      <w:r>
        <w:rPr>
          <w:spacing w:val="-5"/>
          <w:sz w:val="16"/>
        </w:rPr>
        <w:t> </w:t>
      </w:r>
      <w:r>
        <w:rPr>
          <w:sz w:val="16"/>
        </w:rPr>
        <w:t>and</w:t>
      </w:r>
      <w:r>
        <w:rPr>
          <w:spacing w:val="-4"/>
          <w:sz w:val="16"/>
        </w:rPr>
        <w:t> </w:t>
      </w:r>
      <w:r>
        <w:rPr>
          <w:sz w:val="16"/>
        </w:rPr>
        <w:t>vacant</w:t>
      </w:r>
      <w:r>
        <w:rPr>
          <w:spacing w:val="-1"/>
          <w:sz w:val="16"/>
        </w:rPr>
        <w:t> </w:t>
      </w:r>
      <w:r>
        <w:rPr>
          <w:sz w:val="16"/>
        </w:rPr>
        <w:t>units only,</w:t>
      </w:r>
      <w:r>
        <w:rPr>
          <w:spacing w:val="-3"/>
          <w:sz w:val="16"/>
        </w:rPr>
        <w:t> </w:t>
      </w:r>
      <w:r>
        <w:rPr>
          <w:sz w:val="16"/>
        </w:rPr>
        <w:t>as reported by survey respondents.</w:t>
      </w:r>
    </w:p>
    <w:p>
      <w:pPr>
        <w:pStyle w:val="BodyText"/>
        <w:rPr>
          <w:rFonts w:ascii="Arial MT"/>
          <w:sz w:val="16"/>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3"/>
          <w:sz w:val="16"/>
        </w:rPr>
        <w:t> </w:t>
      </w:r>
      <w:r>
        <w:rPr>
          <w:rFonts w:ascii="Arial MT"/>
          <w:spacing w:val="-2"/>
          <w:sz w:val="16"/>
        </w:rPr>
        <w:t>2021.</w:t>
      </w:r>
    </w:p>
    <w:p>
      <w:pPr>
        <w:pStyle w:val="BodyText"/>
        <w:spacing w:before="65"/>
        <w:rPr>
          <w:rFonts w:ascii="Arial MT"/>
          <w:sz w:val="16"/>
        </w:rPr>
      </w:pPr>
    </w:p>
    <w:p>
      <w:pPr>
        <w:spacing w:before="0"/>
        <w:ind w:left="1008" w:right="0" w:firstLine="0"/>
        <w:jc w:val="left"/>
        <w:rPr>
          <w:i/>
          <w:sz w:val="22"/>
        </w:rPr>
      </w:pPr>
      <w:r>
        <w:rPr>
          <w:i/>
          <w:sz w:val="22"/>
        </w:rPr>
        <w:t>Bed</w:t>
      </w:r>
      <w:r>
        <w:rPr>
          <w:i/>
          <w:spacing w:val="-2"/>
          <w:sz w:val="22"/>
        </w:rPr>
        <w:t> Leases</w:t>
      </w:r>
    </w:p>
    <w:p>
      <w:pPr>
        <w:pStyle w:val="BodyText"/>
        <w:spacing w:line="288" w:lineRule="auto" w:before="51"/>
        <w:ind w:left="1008" w:right="1001"/>
      </w:pPr>
      <w:r>
        <w:rPr/>
        <w:t>Of</w:t>
      </w:r>
      <w:r>
        <w:rPr>
          <w:spacing w:val="-11"/>
        </w:rPr>
        <w:t> </w:t>
      </w:r>
      <w:r>
        <w:rPr/>
        <w:t>the</w:t>
      </w:r>
      <w:r>
        <w:rPr>
          <w:spacing w:val="-12"/>
        </w:rPr>
        <w:t> </w:t>
      </w:r>
      <w:r>
        <w:rPr/>
        <w:t>10,079</w:t>
      </w:r>
      <w:r>
        <w:rPr>
          <w:spacing w:val="-11"/>
        </w:rPr>
        <w:t> </w:t>
      </w:r>
      <w:r>
        <w:rPr/>
        <w:t>market-rate</w:t>
      </w:r>
      <w:r>
        <w:rPr>
          <w:spacing w:val="-11"/>
        </w:rPr>
        <w:t> </w:t>
      </w:r>
      <w:r>
        <w:rPr/>
        <w:t>apartment</w:t>
      </w:r>
      <w:r>
        <w:rPr>
          <w:spacing w:val="-11"/>
        </w:rPr>
        <w:t> </w:t>
      </w:r>
      <w:r>
        <w:rPr/>
        <w:t>units</w:t>
      </w:r>
      <w:r>
        <w:rPr>
          <w:spacing w:val="-11"/>
        </w:rPr>
        <w:t> </w:t>
      </w:r>
      <w:r>
        <w:rPr/>
        <w:t>reported</w:t>
      </w:r>
      <w:r>
        <w:rPr>
          <w:spacing w:val="-11"/>
        </w:rPr>
        <w:t> </w:t>
      </w:r>
      <w:r>
        <w:rPr/>
        <w:t>by</w:t>
      </w:r>
      <w:r>
        <w:rPr>
          <w:spacing w:val="-11"/>
        </w:rPr>
        <w:t> </w:t>
      </w:r>
      <w:r>
        <w:rPr/>
        <w:t>survey</w:t>
      </w:r>
      <w:r>
        <w:rPr>
          <w:spacing w:val="-11"/>
        </w:rPr>
        <w:t> </w:t>
      </w:r>
      <w:r>
        <w:rPr/>
        <w:t>respondents,</w:t>
      </w:r>
      <w:r>
        <w:rPr>
          <w:spacing w:val="-11"/>
        </w:rPr>
        <w:t> </w:t>
      </w:r>
      <w:r>
        <w:rPr/>
        <w:t>2,999</w:t>
      </w:r>
      <w:r>
        <w:rPr>
          <w:spacing w:val="-10"/>
        </w:rPr>
        <w:t> </w:t>
      </w:r>
      <w:r>
        <w:rPr/>
        <w:t>units</w:t>
      </w:r>
      <w:r>
        <w:rPr>
          <w:spacing w:val="-11"/>
        </w:rPr>
        <w:t> </w:t>
      </w:r>
      <w:r>
        <w:rPr/>
        <w:t>(30 percent)</w:t>
      </w:r>
      <w:r>
        <w:rPr>
          <w:spacing w:val="-3"/>
        </w:rPr>
        <w:t> </w:t>
      </w:r>
      <w:r>
        <w:rPr/>
        <w:t>were</w:t>
      </w:r>
      <w:r>
        <w:rPr>
          <w:spacing w:val="-5"/>
        </w:rPr>
        <w:t> </w:t>
      </w:r>
      <w:r>
        <w:rPr/>
        <w:t>reportedly</w:t>
      </w:r>
      <w:r>
        <w:rPr>
          <w:spacing w:val="-4"/>
        </w:rPr>
        <w:t> </w:t>
      </w:r>
      <w:r>
        <w:rPr/>
        <w:t>rented</w:t>
      </w:r>
      <w:r>
        <w:rPr>
          <w:spacing w:val="-5"/>
        </w:rPr>
        <w:t> </w:t>
      </w:r>
      <w:r>
        <w:rPr/>
        <w:t>under</w:t>
      </w:r>
      <w:r>
        <w:rPr>
          <w:spacing w:val="-4"/>
        </w:rPr>
        <w:t> </w:t>
      </w:r>
      <w:r>
        <w:rPr/>
        <w:t>bed</w:t>
      </w:r>
      <w:r>
        <w:rPr>
          <w:spacing w:val="-1"/>
        </w:rPr>
        <w:t> </w:t>
      </w:r>
      <w:r>
        <w:rPr/>
        <w:t>lease</w:t>
      </w:r>
      <w:r>
        <w:rPr>
          <w:spacing w:val="-5"/>
        </w:rPr>
        <w:t> </w:t>
      </w:r>
      <w:r>
        <w:rPr/>
        <w:t>arrangements.</w:t>
      </w:r>
      <w:r>
        <w:rPr>
          <w:spacing w:val="40"/>
        </w:rPr>
        <w:t> </w:t>
      </w:r>
      <w:r>
        <w:rPr/>
        <w:t>As</w:t>
      </w:r>
      <w:r>
        <w:rPr>
          <w:spacing w:val="-3"/>
        </w:rPr>
        <w:t> </w:t>
      </w:r>
      <w:r>
        <w:rPr/>
        <w:t>previously</w:t>
      </w:r>
      <w:r>
        <w:rPr>
          <w:spacing w:val="-7"/>
        </w:rPr>
        <w:t> </w:t>
      </w:r>
      <w:r>
        <w:rPr/>
        <w:t>noted,</w:t>
      </w:r>
      <w:r>
        <w:rPr>
          <w:spacing w:val="-3"/>
        </w:rPr>
        <w:t> </w:t>
      </w:r>
      <w:r>
        <w:rPr/>
        <w:t>this</w:t>
      </w:r>
      <w:r>
        <w:rPr>
          <w:spacing w:val="-3"/>
        </w:rPr>
        <w:t> </w:t>
      </w:r>
      <w:r>
        <w:rPr/>
        <w:t>is more</w:t>
      </w:r>
      <w:r>
        <w:rPr>
          <w:spacing w:val="-6"/>
        </w:rPr>
        <w:t> </w:t>
      </w:r>
      <w:r>
        <w:rPr/>
        <w:t>than</w:t>
      </w:r>
      <w:r>
        <w:rPr>
          <w:spacing w:val="-8"/>
        </w:rPr>
        <w:t> </w:t>
      </w:r>
      <w:r>
        <w:rPr/>
        <w:t>double</w:t>
      </w:r>
      <w:r>
        <w:rPr>
          <w:spacing w:val="-9"/>
        </w:rPr>
        <w:t> </w:t>
      </w:r>
      <w:r>
        <w:rPr/>
        <w:t>the</w:t>
      </w:r>
      <w:r>
        <w:rPr>
          <w:spacing w:val="-6"/>
        </w:rPr>
        <w:t> </w:t>
      </w:r>
      <w:r>
        <w:rPr/>
        <w:t>number</w:t>
      </w:r>
      <w:r>
        <w:rPr>
          <w:spacing w:val="-7"/>
        </w:rPr>
        <w:t> </w:t>
      </w:r>
      <w:r>
        <w:rPr/>
        <w:t>of</w:t>
      </w:r>
      <w:r>
        <w:rPr>
          <w:spacing w:val="-8"/>
        </w:rPr>
        <w:t> </w:t>
      </w:r>
      <w:r>
        <w:rPr/>
        <w:t>units</w:t>
      </w:r>
      <w:r>
        <w:rPr>
          <w:spacing w:val="-6"/>
        </w:rPr>
        <w:t> </w:t>
      </w:r>
      <w:r>
        <w:rPr/>
        <w:t>rented</w:t>
      </w:r>
      <w:r>
        <w:rPr>
          <w:spacing w:val="-8"/>
        </w:rPr>
        <w:t> </w:t>
      </w:r>
      <w:r>
        <w:rPr/>
        <w:t>under</w:t>
      </w:r>
      <w:r>
        <w:rPr>
          <w:spacing w:val="-7"/>
        </w:rPr>
        <w:t> </w:t>
      </w:r>
      <w:r>
        <w:rPr/>
        <w:t>a</w:t>
      </w:r>
      <w:r>
        <w:rPr>
          <w:spacing w:val="-6"/>
        </w:rPr>
        <w:t> </w:t>
      </w:r>
      <w:r>
        <w:rPr/>
        <w:t>bed</w:t>
      </w:r>
      <w:r>
        <w:rPr>
          <w:spacing w:val="-6"/>
        </w:rPr>
        <w:t> </w:t>
      </w:r>
      <w:r>
        <w:rPr/>
        <w:t>lease</w:t>
      </w:r>
      <w:r>
        <w:rPr>
          <w:spacing w:val="-6"/>
        </w:rPr>
        <w:t> </w:t>
      </w:r>
      <w:r>
        <w:rPr/>
        <w:t>arrangement</w:t>
      </w:r>
      <w:r>
        <w:rPr>
          <w:spacing w:val="-7"/>
        </w:rPr>
        <w:t> </w:t>
      </w:r>
      <w:r>
        <w:rPr/>
        <w:t>in</w:t>
      </w:r>
      <w:r>
        <w:rPr>
          <w:spacing w:val="-6"/>
        </w:rPr>
        <w:t> </w:t>
      </w:r>
      <w:r>
        <w:rPr/>
        <w:t>2020.</w:t>
      </w:r>
      <w:r>
        <w:rPr>
          <w:spacing w:val="40"/>
        </w:rPr>
        <w:t> </w:t>
      </w:r>
      <w:r>
        <w:rPr/>
        <w:t>This increase is a result of new deliveries of bed-leasing properties, expansion of existing bed- leasing properties, and conversion of unit-leasing properties to bed-leasing arrangements.</w:t>
      </w:r>
    </w:p>
    <w:p>
      <w:pPr>
        <w:pStyle w:val="BodyText"/>
        <w:spacing w:after="0" w:line="288" w:lineRule="auto"/>
        <w:sectPr>
          <w:pgSz w:w="12240" w:h="15840"/>
          <w:pgMar w:header="0" w:footer="502" w:top="1700" w:bottom="700" w:left="720" w:right="720"/>
        </w:sectPr>
      </w:pPr>
    </w:p>
    <w:p>
      <w:pPr>
        <w:pStyle w:val="BodyText"/>
        <w:spacing w:line="288" w:lineRule="auto" w:before="78"/>
        <w:ind w:left="1008" w:right="1001"/>
      </w:pPr>
      <w:r>
        <w:rPr/>
        <w:t>Figure</w:t>
      </w:r>
      <w:r>
        <w:rPr>
          <w:spacing w:val="-3"/>
        </w:rPr>
        <w:t> </w:t>
      </w:r>
      <w:r>
        <w:rPr/>
        <w:t>3</w:t>
      </w:r>
      <w:r>
        <w:rPr>
          <w:spacing w:val="-2"/>
        </w:rPr>
        <w:t> </w:t>
      </w:r>
      <w:r>
        <w:rPr/>
        <w:t>illustrates</w:t>
      </w:r>
      <w:r>
        <w:rPr>
          <w:spacing w:val="-2"/>
        </w:rPr>
        <w:t> </w:t>
      </w:r>
      <w:r>
        <w:rPr/>
        <w:t>the</w:t>
      </w:r>
      <w:r>
        <w:rPr>
          <w:spacing w:val="-4"/>
        </w:rPr>
        <w:t> </w:t>
      </w:r>
      <w:r>
        <w:rPr/>
        <w:t>distribution</w:t>
      </w:r>
      <w:r>
        <w:rPr>
          <w:spacing w:val="-2"/>
        </w:rPr>
        <w:t> </w:t>
      </w:r>
      <w:r>
        <w:rPr/>
        <w:t>of</w:t>
      </w:r>
      <w:r>
        <w:rPr>
          <w:spacing w:val="-1"/>
        </w:rPr>
        <w:t> </w:t>
      </w:r>
      <w:r>
        <w:rPr/>
        <w:t>bed</w:t>
      </w:r>
      <w:r>
        <w:rPr>
          <w:spacing w:val="-2"/>
        </w:rPr>
        <w:t> </w:t>
      </w:r>
      <w:r>
        <w:rPr/>
        <w:t>leases</w:t>
      </w:r>
      <w:r>
        <w:rPr>
          <w:spacing w:val="-2"/>
        </w:rPr>
        <w:t> </w:t>
      </w:r>
      <w:r>
        <w:rPr/>
        <w:t>and</w:t>
      </w:r>
      <w:r>
        <w:rPr>
          <w:spacing w:val="-2"/>
        </w:rPr>
        <w:t> </w:t>
      </w:r>
      <w:r>
        <w:rPr/>
        <w:t>bed-leased</w:t>
      </w:r>
      <w:r>
        <w:rPr>
          <w:spacing w:val="-2"/>
        </w:rPr>
        <w:t> </w:t>
      </w:r>
      <w:r>
        <w:rPr/>
        <w:t>units,</w:t>
      </w:r>
      <w:r>
        <w:rPr>
          <w:spacing w:val="-2"/>
        </w:rPr>
        <w:t> </w:t>
      </w:r>
      <w:r>
        <w:rPr/>
        <w:t>by</w:t>
      </w:r>
      <w:r>
        <w:rPr>
          <w:spacing w:val="-2"/>
        </w:rPr>
        <w:t> </w:t>
      </w:r>
      <w:r>
        <w:rPr/>
        <w:t>unit</w:t>
      </w:r>
      <w:r>
        <w:rPr>
          <w:spacing w:val="-5"/>
        </w:rPr>
        <w:t> </w:t>
      </w:r>
      <w:r>
        <w:rPr/>
        <w:t>size,</w:t>
      </w:r>
      <w:r>
        <w:rPr>
          <w:spacing w:val="-2"/>
        </w:rPr>
        <w:t> </w:t>
      </w:r>
      <w:r>
        <w:rPr/>
        <w:t>which</w:t>
      </w:r>
      <w:r>
        <w:rPr>
          <w:spacing w:val="-2"/>
        </w:rPr>
        <w:t> </w:t>
      </w:r>
      <w:r>
        <w:rPr/>
        <w:t>are also reported in Table 2.</w:t>
      </w:r>
      <w:r>
        <w:rPr>
          <w:spacing w:val="40"/>
        </w:rPr>
        <w:t> </w:t>
      </w:r>
      <w:r>
        <w:rPr/>
        <w:t>Most of the bed-leased units, nearly 76 percent, had between two and</w:t>
      </w:r>
      <w:r>
        <w:rPr>
          <w:spacing w:val="-14"/>
        </w:rPr>
        <w:t> </w:t>
      </w:r>
      <w:r>
        <w:rPr/>
        <w:t>four</w:t>
      </w:r>
      <w:r>
        <w:rPr>
          <w:spacing w:val="-12"/>
        </w:rPr>
        <w:t> </w:t>
      </w:r>
      <w:r>
        <w:rPr/>
        <w:t>bedrooms.</w:t>
      </w:r>
      <w:r>
        <w:rPr>
          <w:spacing w:val="31"/>
        </w:rPr>
        <w:t> </w:t>
      </w:r>
      <w:r>
        <w:rPr/>
        <w:t>Four-bedroom</w:t>
      </w:r>
      <w:r>
        <w:rPr>
          <w:spacing w:val="-12"/>
        </w:rPr>
        <w:t> </w:t>
      </w:r>
      <w:r>
        <w:rPr/>
        <w:t>units</w:t>
      </w:r>
      <w:r>
        <w:rPr>
          <w:spacing w:val="-12"/>
        </w:rPr>
        <w:t> </w:t>
      </w:r>
      <w:r>
        <w:rPr/>
        <w:t>were</w:t>
      </w:r>
      <w:r>
        <w:rPr>
          <w:spacing w:val="-12"/>
        </w:rPr>
        <w:t> </w:t>
      </w:r>
      <w:r>
        <w:rPr/>
        <w:t>the</w:t>
      </w:r>
      <w:r>
        <w:rPr>
          <w:spacing w:val="-12"/>
        </w:rPr>
        <w:t> </w:t>
      </w:r>
      <w:r>
        <w:rPr/>
        <w:t>most</w:t>
      </w:r>
      <w:r>
        <w:rPr>
          <w:spacing w:val="-13"/>
        </w:rPr>
        <w:t> </w:t>
      </w:r>
      <w:r>
        <w:rPr/>
        <w:t>common,</w:t>
      </w:r>
      <w:r>
        <w:rPr>
          <w:spacing w:val="-14"/>
        </w:rPr>
        <w:t> </w:t>
      </w:r>
      <w:r>
        <w:rPr/>
        <w:t>accounting</w:t>
      </w:r>
      <w:r>
        <w:rPr>
          <w:spacing w:val="-14"/>
        </w:rPr>
        <w:t> </w:t>
      </w:r>
      <w:r>
        <w:rPr/>
        <w:t>for</w:t>
      </w:r>
      <w:r>
        <w:rPr>
          <w:spacing w:val="-10"/>
        </w:rPr>
        <w:t> </w:t>
      </w:r>
      <w:r>
        <w:rPr/>
        <w:t>37</w:t>
      </w:r>
      <w:r>
        <w:rPr>
          <w:spacing w:val="-12"/>
        </w:rPr>
        <w:t> </w:t>
      </w:r>
      <w:r>
        <w:rPr/>
        <w:t>percent</w:t>
      </w:r>
      <w:r>
        <w:rPr>
          <w:spacing w:val="-12"/>
        </w:rPr>
        <w:t> </w:t>
      </w:r>
      <w:r>
        <w:rPr/>
        <w:t>of the total.</w:t>
      </w:r>
      <w:r>
        <w:rPr>
          <w:spacing w:val="40"/>
        </w:rPr>
        <w:t> </w:t>
      </w:r>
      <w:r>
        <w:rPr/>
        <w:t>Two- and three-bedroom units accounted for 28 percent</w:t>
      </w:r>
      <w:r>
        <w:rPr>
          <w:spacing w:val="-1"/>
        </w:rPr>
        <w:t> </w:t>
      </w:r>
      <w:r>
        <w:rPr/>
        <w:t>and 11 percent of all reported bed-leased units, respectively.</w:t>
      </w:r>
      <w:r>
        <w:rPr>
          <w:spacing w:val="40"/>
        </w:rPr>
        <w:t> </w:t>
      </w:r>
      <w:r>
        <w:rPr/>
        <w:t>Studio and one-bedroom units accounted for the remaining 24 percent.</w:t>
      </w:r>
    </w:p>
    <w:p>
      <w:pPr>
        <w:pStyle w:val="BodyText"/>
        <w:spacing w:before="55"/>
      </w:pPr>
    </w:p>
    <w:p>
      <w:pPr>
        <w:pStyle w:val="BodyText"/>
        <w:spacing w:line="288" w:lineRule="auto"/>
        <w:ind w:left="1008" w:right="1001"/>
      </w:pPr>
      <w:r>
        <w:rPr/>
        <w:t>Survey</w:t>
      </w:r>
      <w:r>
        <w:rPr>
          <w:spacing w:val="-10"/>
        </w:rPr>
        <w:t> </w:t>
      </w:r>
      <w:r>
        <w:rPr/>
        <w:t>respondents</w:t>
      </w:r>
      <w:r>
        <w:rPr>
          <w:spacing w:val="-10"/>
        </w:rPr>
        <w:t> </w:t>
      </w:r>
      <w:r>
        <w:rPr/>
        <w:t>reported</w:t>
      </w:r>
      <w:r>
        <w:rPr>
          <w:spacing w:val="-12"/>
        </w:rPr>
        <w:t> </w:t>
      </w:r>
      <w:r>
        <w:rPr/>
        <w:t>a</w:t>
      </w:r>
      <w:r>
        <w:rPr>
          <w:spacing w:val="-10"/>
        </w:rPr>
        <w:t> </w:t>
      </w:r>
      <w:r>
        <w:rPr/>
        <w:t>total</w:t>
      </w:r>
      <w:r>
        <w:rPr>
          <w:spacing w:val="-10"/>
        </w:rPr>
        <w:t> </w:t>
      </w:r>
      <w:r>
        <w:rPr/>
        <w:t>of</w:t>
      </w:r>
      <w:r>
        <w:rPr>
          <w:spacing w:val="-8"/>
        </w:rPr>
        <w:t> </w:t>
      </w:r>
      <w:r>
        <w:rPr/>
        <w:t>9,376</w:t>
      </w:r>
      <w:r>
        <w:rPr>
          <w:spacing w:val="-10"/>
        </w:rPr>
        <w:t> </w:t>
      </w:r>
      <w:r>
        <w:rPr/>
        <w:t>leasable</w:t>
      </w:r>
      <w:r>
        <w:rPr>
          <w:spacing w:val="-10"/>
        </w:rPr>
        <w:t> </w:t>
      </w:r>
      <w:r>
        <w:rPr/>
        <w:t>beds,</w:t>
      </w:r>
      <w:r>
        <w:rPr>
          <w:spacing w:val="-10"/>
        </w:rPr>
        <w:t> </w:t>
      </w:r>
      <w:r>
        <w:rPr/>
        <w:t>which</w:t>
      </w:r>
      <w:r>
        <w:rPr>
          <w:spacing w:val="-12"/>
        </w:rPr>
        <w:t> </w:t>
      </w:r>
      <w:r>
        <w:rPr/>
        <w:t>also</w:t>
      </w:r>
      <w:r>
        <w:rPr>
          <w:spacing w:val="-9"/>
        </w:rPr>
        <w:t> </w:t>
      </w:r>
      <w:r>
        <w:rPr/>
        <w:t>represents</w:t>
      </w:r>
      <w:r>
        <w:rPr>
          <w:spacing w:val="-9"/>
        </w:rPr>
        <w:t> </w:t>
      </w:r>
      <w:r>
        <w:rPr/>
        <w:t>more</w:t>
      </w:r>
      <w:r>
        <w:rPr>
          <w:spacing w:val="-10"/>
        </w:rPr>
        <w:t> </w:t>
      </w:r>
      <w:r>
        <w:rPr/>
        <w:t>than double the number of leasable beds reported in 2020.</w:t>
      </w:r>
      <w:r>
        <w:rPr>
          <w:spacing w:val="40"/>
        </w:rPr>
        <w:t> </w:t>
      </w:r>
      <w:r>
        <w:rPr/>
        <w:t>The distribution of leasable beds, by unit</w:t>
      </w:r>
      <w:r>
        <w:rPr>
          <w:spacing w:val="-7"/>
        </w:rPr>
        <w:t> </w:t>
      </w:r>
      <w:r>
        <w:rPr/>
        <w:t>size,</w:t>
      </w:r>
      <w:r>
        <w:rPr>
          <w:spacing w:val="-7"/>
        </w:rPr>
        <w:t> </w:t>
      </w:r>
      <w:r>
        <w:rPr/>
        <w:t>reflects</w:t>
      </w:r>
      <w:r>
        <w:rPr>
          <w:spacing w:val="-9"/>
        </w:rPr>
        <w:t> </w:t>
      </w:r>
      <w:r>
        <w:rPr/>
        <w:t>a</w:t>
      </w:r>
      <w:r>
        <w:rPr>
          <w:spacing w:val="-7"/>
        </w:rPr>
        <w:t> </w:t>
      </w:r>
      <w:r>
        <w:rPr/>
        <w:t>distribution</w:t>
      </w:r>
      <w:r>
        <w:rPr>
          <w:spacing w:val="-7"/>
        </w:rPr>
        <w:t> </w:t>
      </w:r>
      <w:r>
        <w:rPr/>
        <w:t>similar</w:t>
      </w:r>
      <w:r>
        <w:rPr>
          <w:spacing w:val="-7"/>
        </w:rPr>
        <w:t> </w:t>
      </w:r>
      <w:r>
        <w:rPr/>
        <w:t>to</w:t>
      </w:r>
      <w:r>
        <w:rPr>
          <w:spacing w:val="-7"/>
        </w:rPr>
        <w:t> </w:t>
      </w:r>
      <w:r>
        <w:rPr/>
        <w:t>that</w:t>
      </w:r>
      <w:r>
        <w:rPr>
          <w:spacing w:val="-8"/>
        </w:rPr>
        <w:t> </w:t>
      </w:r>
      <w:r>
        <w:rPr/>
        <w:t>shown</w:t>
      </w:r>
      <w:r>
        <w:rPr>
          <w:spacing w:val="-7"/>
        </w:rPr>
        <w:t> </w:t>
      </w:r>
      <w:r>
        <w:rPr/>
        <w:t>for</w:t>
      </w:r>
      <w:r>
        <w:rPr>
          <w:spacing w:val="-7"/>
        </w:rPr>
        <w:t> </w:t>
      </w:r>
      <w:r>
        <w:rPr/>
        <w:t>bed-leased</w:t>
      </w:r>
      <w:r>
        <w:rPr>
          <w:spacing w:val="-7"/>
        </w:rPr>
        <w:t> </w:t>
      </w:r>
      <w:r>
        <w:rPr/>
        <w:t>units.</w:t>
      </w:r>
      <w:r>
        <w:rPr>
          <w:spacing w:val="40"/>
        </w:rPr>
        <w:t> </w:t>
      </w:r>
      <w:r>
        <w:rPr/>
        <w:t>As</w:t>
      </w:r>
      <w:r>
        <w:rPr>
          <w:spacing w:val="-9"/>
        </w:rPr>
        <w:t> </w:t>
      </w:r>
      <w:r>
        <w:rPr/>
        <w:t>shown</w:t>
      </w:r>
      <w:r>
        <w:rPr>
          <w:spacing w:val="-7"/>
        </w:rPr>
        <w:t> </w:t>
      </w:r>
      <w:r>
        <w:rPr/>
        <w:t>in</w:t>
      </w:r>
      <w:r>
        <w:rPr>
          <w:spacing w:val="-9"/>
        </w:rPr>
        <w:t> </w:t>
      </w:r>
      <w:r>
        <w:rPr/>
        <w:t>Figure 3, 55 percent of the leased beds were in four-bedroom units, while 22 percent were in two- bedroom units, and 12 percent were in three-bedroom units.</w:t>
      </w:r>
      <w:r>
        <w:rPr>
          <w:spacing w:val="40"/>
        </w:rPr>
        <w:t> </w:t>
      </w:r>
      <w:r>
        <w:rPr/>
        <w:t>Studio and one-bedroom units that were reported as rented under bed lease agreements accounted for 11 percent of the </w:t>
      </w:r>
      <w:r>
        <w:rPr>
          <w:spacing w:val="-2"/>
        </w:rPr>
        <w:t>total.</w:t>
      </w:r>
    </w:p>
    <w:p>
      <w:pPr>
        <w:pStyle w:val="BodyText"/>
        <w:spacing w:before="8"/>
      </w:pPr>
    </w:p>
    <w:p>
      <w:pPr>
        <w:spacing w:before="0"/>
        <w:ind w:left="1008" w:right="0" w:firstLine="0"/>
        <w:jc w:val="left"/>
        <w:rPr>
          <w:i/>
          <w:sz w:val="22"/>
        </w:rPr>
      </w:pPr>
      <w:r>
        <w:rPr>
          <w:i/>
          <w:sz w:val="22"/>
        </w:rPr>
        <w:t>Figure</w:t>
      </w:r>
      <w:r>
        <w:rPr>
          <w:i/>
          <w:spacing w:val="-7"/>
          <w:sz w:val="22"/>
        </w:rPr>
        <w:t> </w:t>
      </w:r>
      <w:r>
        <w:rPr>
          <w:i/>
          <w:sz w:val="22"/>
        </w:rPr>
        <w:t>3:</w:t>
      </w:r>
      <w:r>
        <w:rPr>
          <w:i/>
          <w:spacing w:val="40"/>
          <w:sz w:val="22"/>
        </w:rPr>
        <w:t> </w:t>
      </w:r>
      <w:r>
        <w:rPr>
          <w:i/>
          <w:sz w:val="22"/>
        </w:rPr>
        <w:t>Distribution</w:t>
      </w:r>
      <w:r>
        <w:rPr>
          <w:i/>
          <w:spacing w:val="-9"/>
          <w:sz w:val="22"/>
        </w:rPr>
        <w:t> </w:t>
      </w:r>
      <w:r>
        <w:rPr>
          <w:i/>
          <w:sz w:val="22"/>
        </w:rPr>
        <w:t>of</w:t>
      </w:r>
      <w:r>
        <w:rPr>
          <w:i/>
          <w:spacing w:val="-7"/>
          <w:sz w:val="22"/>
        </w:rPr>
        <w:t> </w:t>
      </w:r>
      <w:r>
        <w:rPr>
          <w:i/>
          <w:sz w:val="22"/>
        </w:rPr>
        <w:t>Leasable</w:t>
      </w:r>
      <w:r>
        <w:rPr>
          <w:i/>
          <w:spacing w:val="-7"/>
          <w:sz w:val="22"/>
        </w:rPr>
        <w:t> </w:t>
      </w:r>
      <w:r>
        <w:rPr>
          <w:i/>
          <w:sz w:val="22"/>
        </w:rPr>
        <w:t>Beds</w:t>
      </w:r>
      <w:r>
        <w:rPr>
          <w:i/>
          <w:spacing w:val="-7"/>
          <w:sz w:val="22"/>
        </w:rPr>
        <w:t> </w:t>
      </w:r>
      <w:r>
        <w:rPr>
          <w:i/>
          <w:sz w:val="22"/>
        </w:rPr>
        <w:t>and</w:t>
      </w:r>
      <w:r>
        <w:rPr>
          <w:i/>
          <w:spacing w:val="-8"/>
          <w:sz w:val="22"/>
        </w:rPr>
        <w:t> </w:t>
      </w:r>
      <w:r>
        <w:rPr>
          <w:i/>
          <w:sz w:val="22"/>
        </w:rPr>
        <w:t>Associated</w:t>
      </w:r>
      <w:r>
        <w:rPr>
          <w:i/>
          <w:spacing w:val="-8"/>
          <w:sz w:val="22"/>
        </w:rPr>
        <w:t> </w:t>
      </w:r>
      <w:r>
        <w:rPr>
          <w:i/>
          <w:sz w:val="22"/>
        </w:rPr>
        <w:t>Units</w:t>
      </w:r>
      <w:r>
        <w:rPr>
          <w:i/>
          <w:spacing w:val="-8"/>
          <w:sz w:val="22"/>
        </w:rPr>
        <w:t> </w:t>
      </w:r>
      <w:r>
        <w:rPr>
          <w:i/>
          <w:sz w:val="22"/>
        </w:rPr>
        <w:t>by</w:t>
      </w:r>
      <w:r>
        <w:rPr>
          <w:i/>
          <w:spacing w:val="-6"/>
          <w:sz w:val="22"/>
        </w:rPr>
        <w:t> </w:t>
      </w:r>
      <w:r>
        <w:rPr>
          <w:i/>
          <w:sz w:val="22"/>
        </w:rPr>
        <w:t>Unit</w:t>
      </w:r>
      <w:r>
        <w:rPr>
          <w:i/>
          <w:spacing w:val="-8"/>
          <w:sz w:val="22"/>
        </w:rPr>
        <w:t> </w:t>
      </w:r>
      <w:r>
        <w:rPr>
          <w:i/>
          <w:spacing w:val="-4"/>
          <w:sz w:val="22"/>
        </w:rPr>
        <w:t>Size</w:t>
      </w:r>
    </w:p>
    <w:p>
      <w:pPr>
        <w:tabs>
          <w:tab w:pos="7483" w:val="left" w:leader="none"/>
        </w:tabs>
        <w:spacing w:before="181"/>
        <w:ind w:left="3673" w:right="0" w:firstLine="0"/>
        <w:jc w:val="left"/>
        <w:rPr>
          <w:rFonts w:ascii="Calibri"/>
          <w:sz w:val="32"/>
        </w:rPr>
      </w:pPr>
      <w:r>
        <w:rPr>
          <w:rFonts w:ascii="Calibri"/>
          <w:color w:val="585858"/>
          <w:spacing w:val="-2"/>
          <w:position w:val="1"/>
          <w:sz w:val="32"/>
          <w:u w:val="single" w:color="585858"/>
        </w:rPr>
        <w:t>Units</w:t>
      </w:r>
      <w:r>
        <w:rPr>
          <w:rFonts w:ascii="Calibri"/>
          <w:color w:val="585858"/>
          <w:position w:val="1"/>
          <w:sz w:val="32"/>
        </w:rPr>
        <w:tab/>
      </w:r>
      <w:r>
        <w:rPr>
          <w:rFonts w:ascii="Calibri"/>
          <w:color w:val="585858"/>
          <w:spacing w:val="-4"/>
          <w:sz w:val="32"/>
          <w:u w:val="single" w:color="585858"/>
        </w:rPr>
        <w:t>Beds</w:t>
      </w:r>
    </w:p>
    <w:p>
      <w:pPr>
        <w:pStyle w:val="BodyText"/>
        <w:rPr>
          <w:rFonts w:ascii="Calibri"/>
          <w:sz w:val="21"/>
        </w:rPr>
      </w:pPr>
    </w:p>
    <w:p>
      <w:pPr>
        <w:pStyle w:val="BodyText"/>
        <w:rPr>
          <w:rFonts w:ascii="Calibri"/>
          <w:sz w:val="21"/>
        </w:rPr>
      </w:pPr>
    </w:p>
    <w:p>
      <w:pPr>
        <w:pStyle w:val="BodyText"/>
        <w:rPr>
          <w:rFonts w:ascii="Calibri"/>
          <w:sz w:val="21"/>
        </w:rPr>
      </w:pPr>
    </w:p>
    <w:p>
      <w:pPr>
        <w:pStyle w:val="BodyText"/>
        <w:spacing w:before="63"/>
        <w:rPr>
          <w:rFonts w:ascii="Calibri"/>
          <w:sz w:val="21"/>
        </w:rPr>
      </w:pPr>
    </w:p>
    <w:p>
      <w:pPr>
        <w:spacing w:before="0"/>
        <w:ind w:left="1061" w:right="0" w:firstLine="0"/>
        <w:jc w:val="left"/>
        <w:rPr>
          <w:rFonts w:ascii="Calibri"/>
          <w:sz w:val="21"/>
        </w:rPr>
      </w:pPr>
      <w:r>
        <w:rPr>
          <w:rFonts w:ascii="Calibri"/>
          <w:sz w:val="21"/>
        </w:rPr>
        <mc:AlternateContent>
          <mc:Choice Requires="wps">
            <w:drawing>
              <wp:anchor distT="0" distB="0" distL="0" distR="0" allowOverlap="1" layoutInCell="1" locked="0" behindDoc="0" simplePos="0" relativeHeight="15730688">
                <wp:simplePos x="0" y="0"/>
                <wp:positionH relativeFrom="page">
                  <wp:posOffset>2450592</wp:posOffset>
                </wp:positionH>
                <wp:positionV relativeFrom="paragraph">
                  <wp:posOffset>-672135</wp:posOffset>
                </wp:positionV>
                <wp:extent cx="2173605" cy="216154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2173605" cy="2161540"/>
                          <a:chExt cx="2173605" cy="2161540"/>
                        </a:xfrm>
                      </wpg:grpSpPr>
                      <pic:pic>
                        <pic:nvPicPr>
                          <pic:cNvPr id="25" name="Image 25"/>
                          <pic:cNvPicPr/>
                        </pic:nvPicPr>
                        <pic:blipFill>
                          <a:blip r:embed="rId24" cstate="print"/>
                          <a:stretch>
                            <a:fillRect/>
                          </a:stretch>
                        </pic:blipFill>
                        <pic:spPr>
                          <a:xfrm>
                            <a:off x="1056119" y="9069"/>
                            <a:ext cx="1104912" cy="1108083"/>
                          </a:xfrm>
                          <a:prstGeom prst="rect">
                            <a:avLst/>
                          </a:prstGeom>
                        </pic:spPr>
                      </pic:pic>
                      <pic:pic>
                        <pic:nvPicPr>
                          <pic:cNvPr id="26" name="Image 26"/>
                          <pic:cNvPicPr/>
                        </pic:nvPicPr>
                        <pic:blipFill>
                          <a:blip r:embed="rId25" cstate="print"/>
                          <a:stretch>
                            <a:fillRect/>
                          </a:stretch>
                        </pic:blipFill>
                        <pic:spPr>
                          <a:xfrm>
                            <a:off x="961644" y="966228"/>
                            <a:ext cx="1211580" cy="1194803"/>
                          </a:xfrm>
                          <a:prstGeom prst="rect">
                            <a:avLst/>
                          </a:prstGeom>
                        </pic:spPr>
                      </pic:pic>
                      <pic:pic>
                        <pic:nvPicPr>
                          <pic:cNvPr id="27" name="Image 27"/>
                          <pic:cNvPicPr/>
                        </pic:nvPicPr>
                        <pic:blipFill>
                          <a:blip r:embed="rId26" cstate="print"/>
                          <a:stretch>
                            <a:fillRect/>
                          </a:stretch>
                        </pic:blipFill>
                        <pic:spPr>
                          <a:xfrm>
                            <a:off x="294131" y="1045476"/>
                            <a:ext cx="833640" cy="1115555"/>
                          </a:xfrm>
                          <a:prstGeom prst="rect">
                            <a:avLst/>
                          </a:prstGeom>
                        </pic:spPr>
                      </pic:pic>
                      <pic:pic>
                        <pic:nvPicPr>
                          <pic:cNvPr id="28" name="Image 28"/>
                          <pic:cNvPicPr/>
                        </pic:nvPicPr>
                        <pic:blipFill>
                          <a:blip r:embed="rId27" cstate="print"/>
                          <a:stretch>
                            <a:fillRect/>
                          </a:stretch>
                        </pic:blipFill>
                        <pic:spPr>
                          <a:xfrm>
                            <a:off x="0" y="0"/>
                            <a:ext cx="1127759" cy="1853183"/>
                          </a:xfrm>
                          <a:prstGeom prst="rect">
                            <a:avLst/>
                          </a:prstGeom>
                        </pic:spPr>
                      </pic:pic>
                      <pic:pic>
                        <pic:nvPicPr>
                          <pic:cNvPr id="29" name="Image 29"/>
                          <pic:cNvPicPr/>
                        </pic:nvPicPr>
                        <pic:blipFill>
                          <a:blip r:embed="rId28" cstate="print"/>
                          <a:stretch>
                            <a:fillRect/>
                          </a:stretch>
                        </pic:blipFill>
                        <pic:spPr>
                          <a:xfrm>
                            <a:off x="1085088" y="15240"/>
                            <a:ext cx="1049286" cy="1052322"/>
                          </a:xfrm>
                          <a:prstGeom prst="rect">
                            <a:avLst/>
                          </a:prstGeom>
                        </pic:spPr>
                      </pic:pic>
                      <pic:pic>
                        <pic:nvPicPr>
                          <pic:cNvPr id="30" name="Image 30"/>
                          <pic:cNvPicPr/>
                        </pic:nvPicPr>
                        <pic:blipFill>
                          <a:blip r:embed="rId29" cstate="print"/>
                          <a:stretch>
                            <a:fillRect/>
                          </a:stretch>
                        </pic:blipFill>
                        <pic:spPr>
                          <a:xfrm>
                            <a:off x="999744" y="982980"/>
                            <a:ext cx="1137665" cy="1130046"/>
                          </a:xfrm>
                          <a:prstGeom prst="rect">
                            <a:avLst/>
                          </a:prstGeom>
                        </pic:spPr>
                      </pic:pic>
                      <pic:pic>
                        <pic:nvPicPr>
                          <pic:cNvPr id="31" name="Image 31"/>
                          <pic:cNvPicPr/>
                        </pic:nvPicPr>
                        <pic:blipFill>
                          <a:blip r:embed="rId30" cstate="print"/>
                          <a:stretch>
                            <a:fillRect/>
                          </a:stretch>
                        </pic:blipFill>
                        <pic:spPr>
                          <a:xfrm>
                            <a:off x="332231" y="1062227"/>
                            <a:ext cx="758202" cy="1047750"/>
                          </a:xfrm>
                          <a:prstGeom prst="rect">
                            <a:avLst/>
                          </a:prstGeom>
                        </pic:spPr>
                      </pic:pic>
                      <pic:pic>
                        <pic:nvPicPr>
                          <pic:cNvPr id="32" name="Image 32"/>
                          <pic:cNvPicPr/>
                        </pic:nvPicPr>
                        <pic:blipFill>
                          <a:blip r:embed="rId31" cstate="print"/>
                          <a:stretch>
                            <a:fillRect/>
                          </a:stretch>
                        </pic:blipFill>
                        <pic:spPr>
                          <a:xfrm>
                            <a:off x="39623" y="15240"/>
                            <a:ext cx="1050810" cy="1777746"/>
                          </a:xfrm>
                          <a:prstGeom prst="rect">
                            <a:avLst/>
                          </a:prstGeom>
                        </pic:spPr>
                      </pic:pic>
                      <wps:wsp>
                        <wps:cNvPr id="33" name="Textbox 33"/>
                        <wps:cNvSpPr txBox="1"/>
                        <wps:spPr>
                          <a:xfrm>
                            <a:off x="1394713" y="525652"/>
                            <a:ext cx="440690"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713;</w:t>
                              </w:r>
                              <w:r>
                                <w:rPr>
                                  <w:rFonts w:ascii="Calibri"/>
                                  <w:color w:val="404040"/>
                                  <w:spacing w:val="-4"/>
                                  <w:sz w:val="18"/>
                                </w:rPr>
                                <w:t> </w:t>
                              </w:r>
                              <w:r>
                                <w:rPr>
                                  <w:rFonts w:ascii="Calibri"/>
                                  <w:color w:val="404040"/>
                                  <w:spacing w:val="-5"/>
                                  <w:sz w:val="18"/>
                                </w:rPr>
                                <w:t>24%</w:t>
                              </w:r>
                            </w:p>
                          </w:txbxContent>
                        </wps:txbx>
                        <wps:bodyPr wrap="square" lIns="0" tIns="0" rIns="0" bIns="0" rtlCol="0">
                          <a:noAutofit/>
                        </wps:bodyPr>
                      </wps:wsp>
                      <wps:wsp>
                        <wps:cNvPr id="34" name="Textbox 34"/>
                        <wps:cNvSpPr txBox="1"/>
                        <wps:spPr>
                          <a:xfrm>
                            <a:off x="280161" y="817752"/>
                            <a:ext cx="52768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1,115;</w:t>
                              </w:r>
                              <w:r>
                                <w:rPr>
                                  <w:rFonts w:ascii="Calibri"/>
                                  <w:color w:val="404040"/>
                                  <w:spacing w:val="-1"/>
                                  <w:sz w:val="18"/>
                                </w:rPr>
                                <w:t> </w:t>
                              </w:r>
                              <w:r>
                                <w:rPr>
                                  <w:rFonts w:ascii="Calibri"/>
                                  <w:color w:val="404040"/>
                                  <w:spacing w:val="-5"/>
                                  <w:sz w:val="18"/>
                                </w:rPr>
                                <w:t>37%</w:t>
                              </w:r>
                            </w:p>
                          </w:txbxContent>
                        </wps:txbx>
                        <wps:bodyPr wrap="square" lIns="0" tIns="0" rIns="0" bIns="0" rtlCol="0">
                          <a:noAutofit/>
                        </wps:bodyPr>
                      </wps:wsp>
                      <wps:wsp>
                        <wps:cNvPr id="35" name="Textbox 35"/>
                        <wps:cNvSpPr txBox="1"/>
                        <wps:spPr>
                          <a:xfrm>
                            <a:off x="1366138" y="1570227"/>
                            <a:ext cx="440690"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824;</w:t>
                              </w:r>
                              <w:r>
                                <w:rPr>
                                  <w:rFonts w:ascii="Calibri"/>
                                  <w:color w:val="404040"/>
                                  <w:spacing w:val="-4"/>
                                  <w:sz w:val="18"/>
                                </w:rPr>
                                <w:t> </w:t>
                              </w:r>
                              <w:r>
                                <w:rPr>
                                  <w:rFonts w:ascii="Calibri"/>
                                  <w:color w:val="404040"/>
                                  <w:spacing w:val="-5"/>
                                  <w:sz w:val="18"/>
                                </w:rPr>
                                <w:t>28%</w:t>
                              </w:r>
                            </w:p>
                          </w:txbxContent>
                        </wps:txbx>
                        <wps:bodyPr wrap="square" lIns="0" tIns="0" rIns="0" bIns="0" rtlCol="0">
                          <a:noAutofit/>
                        </wps:bodyPr>
                      </wps:wsp>
                      <wps:wsp>
                        <wps:cNvPr id="36" name="Textbox 36"/>
                        <wps:cNvSpPr txBox="1"/>
                        <wps:spPr>
                          <a:xfrm>
                            <a:off x="562355" y="1709292"/>
                            <a:ext cx="440690"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344;</w:t>
                              </w:r>
                              <w:r>
                                <w:rPr>
                                  <w:rFonts w:ascii="Calibri"/>
                                  <w:color w:val="404040"/>
                                  <w:spacing w:val="-4"/>
                                  <w:sz w:val="18"/>
                                </w:rPr>
                                <w:t> </w:t>
                              </w:r>
                              <w:r>
                                <w:rPr>
                                  <w:rFonts w:ascii="Calibri"/>
                                  <w:color w:val="404040"/>
                                  <w:spacing w:val="-5"/>
                                  <w:sz w:val="18"/>
                                </w:rPr>
                                <w:t>11%</w:t>
                              </w:r>
                            </w:p>
                          </w:txbxContent>
                        </wps:txbx>
                        <wps:bodyPr wrap="square" lIns="0" tIns="0" rIns="0" bIns="0" rtlCol="0">
                          <a:noAutofit/>
                        </wps:bodyPr>
                      </wps:wsp>
                    </wpg:wgp>
                  </a:graphicData>
                </a:graphic>
              </wp:anchor>
            </w:drawing>
          </mc:Choice>
          <mc:Fallback>
            <w:pict>
              <v:group style="position:absolute;margin-left:192.960007pt;margin-top:-52.924023pt;width:171.15pt;height:170.2pt;mso-position-horizontal-relative:page;mso-position-vertical-relative:paragraph;z-index:15730688" id="docshapegroup18" coordorigin="3859,-1058" coordsize="3423,3404">
                <v:shape style="position:absolute;left:5522;top:-1045;width:1741;height:1746" type="#_x0000_t75" id="docshape19" stroked="false">
                  <v:imagedata r:id="rId24" o:title=""/>
                </v:shape>
                <v:shape style="position:absolute;left:5373;top:463;width:1908;height:1882" type="#_x0000_t75" id="docshape20" stroked="false">
                  <v:imagedata r:id="rId25" o:title=""/>
                </v:shape>
                <v:shape style="position:absolute;left:4322;top:587;width:1313;height:1757" type="#_x0000_t75" id="docshape21" stroked="false">
                  <v:imagedata r:id="rId26" o:title=""/>
                </v:shape>
                <v:shape style="position:absolute;left:3859;top:-1059;width:1776;height:2919" type="#_x0000_t75" id="docshape22" stroked="false">
                  <v:imagedata r:id="rId27" o:title=""/>
                </v:shape>
                <v:shape style="position:absolute;left:5568;top:-1035;width:1653;height:1658" type="#_x0000_t75" id="docshape23" stroked="false">
                  <v:imagedata r:id="rId28" o:title=""/>
                </v:shape>
                <v:shape style="position:absolute;left:5433;top:489;width:1792;height:1780" type="#_x0000_t75" id="docshape24" stroked="false">
                  <v:imagedata r:id="rId29" o:title=""/>
                </v:shape>
                <v:shape style="position:absolute;left:4382;top:614;width:1195;height:1650" type="#_x0000_t75" id="docshape25" stroked="false">
                  <v:imagedata r:id="rId30" o:title=""/>
                </v:shape>
                <v:shape style="position:absolute;left:3921;top:-1035;width:1655;height:2800" type="#_x0000_t75" id="docshape26" stroked="false">
                  <v:imagedata r:id="rId31" o:title=""/>
                </v:shape>
                <v:shape style="position:absolute;left:6055;top:-231;width:694;height:180" type="#_x0000_t202" id="docshape27" filled="false" stroked="false">
                  <v:textbox inset="0,0,0,0">
                    <w:txbxContent>
                      <w:p>
                        <w:pPr>
                          <w:spacing w:line="180" w:lineRule="exact" w:before="0"/>
                          <w:ind w:left="0" w:right="0" w:firstLine="0"/>
                          <w:jc w:val="left"/>
                          <w:rPr>
                            <w:rFonts w:ascii="Calibri"/>
                            <w:sz w:val="18"/>
                          </w:rPr>
                        </w:pPr>
                        <w:r>
                          <w:rPr>
                            <w:rFonts w:ascii="Calibri"/>
                            <w:color w:val="404040"/>
                            <w:sz w:val="18"/>
                          </w:rPr>
                          <w:t>713;</w:t>
                        </w:r>
                        <w:r>
                          <w:rPr>
                            <w:rFonts w:ascii="Calibri"/>
                            <w:color w:val="404040"/>
                            <w:spacing w:val="-4"/>
                            <w:sz w:val="18"/>
                          </w:rPr>
                          <w:t> </w:t>
                        </w:r>
                        <w:r>
                          <w:rPr>
                            <w:rFonts w:ascii="Calibri"/>
                            <w:color w:val="404040"/>
                            <w:spacing w:val="-5"/>
                            <w:sz w:val="18"/>
                          </w:rPr>
                          <w:t>24%</w:t>
                        </w:r>
                      </w:p>
                    </w:txbxContent>
                  </v:textbox>
                  <w10:wrap type="none"/>
                </v:shape>
                <v:shape style="position:absolute;left:4300;top:229;width:831;height:180" type="#_x0000_t202" id="docshape28" filled="false" stroked="false">
                  <v:textbox inset="0,0,0,0">
                    <w:txbxContent>
                      <w:p>
                        <w:pPr>
                          <w:spacing w:line="180" w:lineRule="exact" w:before="0"/>
                          <w:ind w:left="0" w:right="0" w:firstLine="0"/>
                          <w:jc w:val="left"/>
                          <w:rPr>
                            <w:rFonts w:ascii="Calibri"/>
                            <w:sz w:val="18"/>
                          </w:rPr>
                        </w:pPr>
                        <w:r>
                          <w:rPr>
                            <w:rFonts w:ascii="Calibri"/>
                            <w:color w:val="404040"/>
                            <w:sz w:val="18"/>
                          </w:rPr>
                          <w:t>1,115;</w:t>
                        </w:r>
                        <w:r>
                          <w:rPr>
                            <w:rFonts w:ascii="Calibri"/>
                            <w:color w:val="404040"/>
                            <w:spacing w:val="-1"/>
                            <w:sz w:val="18"/>
                          </w:rPr>
                          <w:t> </w:t>
                        </w:r>
                        <w:r>
                          <w:rPr>
                            <w:rFonts w:ascii="Calibri"/>
                            <w:color w:val="404040"/>
                            <w:spacing w:val="-5"/>
                            <w:sz w:val="18"/>
                          </w:rPr>
                          <w:t>37%</w:t>
                        </w:r>
                      </w:p>
                    </w:txbxContent>
                  </v:textbox>
                  <w10:wrap type="none"/>
                </v:shape>
                <v:shape style="position:absolute;left:6010;top:1414;width:694;height:180" type="#_x0000_t202" id="docshape29" filled="false" stroked="false">
                  <v:textbox inset="0,0,0,0">
                    <w:txbxContent>
                      <w:p>
                        <w:pPr>
                          <w:spacing w:line="180" w:lineRule="exact" w:before="0"/>
                          <w:ind w:left="0" w:right="0" w:firstLine="0"/>
                          <w:jc w:val="left"/>
                          <w:rPr>
                            <w:rFonts w:ascii="Calibri"/>
                            <w:sz w:val="18"/>
                          </w:rPr>
                        </w:pPr>
                        <w:r>
                          <w:rPr>
                            <w:rFonts w:ascii="Calibri"/>
                            <w:color w:val="404040"/>
                            <w:sz w:val="18"/>
                          </w:rPr>
                          <w:t>824;</w:t>
                        </w:r>
                        <w:r>
                          <w:rPr>
                            <w:rFonts w:ascii="Calibri"/>
                            <w:color w:val="404040"/>
                            <w:spacing w:val="-4"/>
                            <w:sz w:val="18"/>
                          </w:rPr>
                          <w:t> </w:t>
                        </w:r>
                        <w:r>
                          <w:rPr>
                            <w:rFonts w:ascii="Calibri"/>
                            <w:color w:val="404040"/>
                            <w:spacing w:val="-5"/>
                            <w:sz w:val="18"/>
                          </w:rPr>
                          <w:t>28%</w:t>
                        </w:r>
                      </w:p>
                    </w:txbxContent>
                  </v:textbox>
                  <w10:wrap type="none"/>
                </v:shape>
                <v:shape style="position:absolute;left:4744;top:1633;width:694;height:180" type="#_x0000_t202" id="docshape30" filled="false" stroked="false">
                  <v:textbox inset="0,0,0,0">
                    <w:txbxContent>
                      <w:p>
                        <w:pPr>
                          <w:spacing w:line="180" w:lineRule="exact" w:before="0"/>
                          <w:ind w:left="0" w:right="0" w:firstLine="0"/>
                          <w:jc w:val="left"/>
                          <w:rPr>
                            <w:rFonts w:ascii="Calibri"/>
                            <w:sz w:val="18"/>
                          </w:rPr>
                        </w:pPr>
                        <w:r>
                          <w:rPr>
                            <w:rFonts w:ascii="Calibri"/>
                            <w:color w:val="404040"/>
                            <w:sz w:val="18"/>
                          </w:rPr>
                          <w:t>344;</w:t>
                        </w:r>
                        <w:r>
                          <w:rPr>
                            <w:rFonts w:ascii="Calibri"/>
                            <w:color w:val="404040"/>
                            <w:spacing w:val="-4"/>
                            <w:sz w:val="18"/>
                          </w:rPr>
                          <w:t> </w:t>
                        </w:r>
                        <w:r>
                          <w:rPr>
                            <w:rFonts w:ascii="Calibri"/>
                            <w:color w:val="404040"/>
                            <w:spacing w:val="-5"/>
                            <w:sz w:val="18"/>
                          </w:rPr>
                          <w:t>11%</w:t>
                        </w:r>
                      </w:p>
                    </w:txbxContent>
                  </v:textbox>
                  <w10:wrap type="none"/>
                </v:shape>
                <w10:wrap type="none"/>
              </v:group>
            </w:pict>
          </mc:Fallback>
        </mc:AlternateContent>
      </w:r>
      <w:r>
        <w:rPr>
          <w:rFonts w:ascii="Calibri"/>
          <w:sz w:val="21"/>
        </w:rPr>
        <mc:AlternateContent>
          <mc:Choice Requires="wps">
            <w:drawing>
              <wp:anchor distT="0" distB="0" distL="0" distR="0" allowOverlap="1" layoutInCell="1" locked="0" behindDoc="0" simplePos="0" relativeHeight="15731200">
                <wp:simplePos x="0" y="0"/>
                <wp:positionH relativeFrom="page">
                  <wp:posOffset>4762500</wp:posOffset>
                </wp:positionH>
                <wp:positionV relativeFrom="paragraph">
                  <wp:posOffset>-661467</wp:posOffset>
                </wp:positionV>
                <wp:extent cx="2141220" cy="212915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2141220" cy="2129155"/>
                          <a:chExt cx="2141220" cy="2129155"/>
                        </a:xfrm>
                      </wpg:grpSpPr>
                      <pic:pic>
                        <pic:nvPicPr>
                          <pic:cNvPr id="38" name="Image 38"/>
                          <pic:cNvPicPr/>
                        </pic:nvPicPr>
                        <pic:blipFill>
                          <a:blip r:embed="rId32" cstate="print"/>
                          <a:stretch>
                            <a:fillRect/>
                          </a:stretch>
                        </pic:blipFill>
                        <pic:spPr>
                          <a:xfrm>
                            <a:off x="1039329" y="9106"/>
                            <a:ext cx="691999" cy="1083676"/>
                          </a:xfrm>
                          <a:prstGeom prst="rect">
                            <a:avLst/>
                          </a:prstGeom>
                        </pic:spPr>
                      </pic:pic>
                      <pic:pic>
                        <pic:nvPicPr>
                          <pic:cNvPr id="39" name="Image 39"/>
                          <pic:cNvPicPr/>
                        </pic:nvPicPr>
                        <pic:blipFill>
                          <a:blip r:embed="rId33" cstate="print"/>
                          <a:stretch>
                            <a:fillRect/>
                          </a:stretch>
                        </pic:blipFill>
                        <pic:spPr>
                          <a:xfrm>
                            <a:off x="1030224" y="222504"/>
                            <a:ext cx="1110996" cy="1380743"/>
                          </a:xfrm>
                          <a:prstGeom prst="rect">
                            <a:avLst/>
                          </a:prstGeom>
                        </pic:spPr>
                      </pic:pic>
                      <pic:pic>
                        <pic:nvPicPr>
                          <pic:cNvPr id="40" name="Image 40"/>
                          <pic:cNvPicPr/>
                        </pic:nvPicPr>
                        <pic:blipFill>
                          <a:blip r:embed="rId34" cstate="print"/>
                          <a:stretch>
                            <a:fillRect/>
                          </a:stretch>
                        </pic:blipFill>
                        <pic:spPr>
                          <a:xfrm>
                            <a:off x="1030224" y="1030236"/>
                            <a:ext cx="986015" cy="1059167"/>
                          </a:xfrm>
                          <a:prstGeom prst="rect">
                            <a:avLst/>
                          </a:prstGeom>
                        </pic:spPr>
                      </pic:pic>
                      <pic:pic>
                        <pic:nvPicPr>
                          <pic:cNvPr id="41" name="Image 41"/>
                          <pic:cNvPicPr/>
                        </pic:nvPicPr>
                        <pic:blipFill>
                          <a:blip r:embed="rId35" cstate="print"/>
                          <a:stretch>
                            <a:fillRect/>
                          </a:stretch>
                        </pic:blipFill>
                        <pic:spPr>
                          <a:xfrm>
                            <a:off x="0" y="0"/>
                            <a:ext cx="1434084" cy="2129027"/>
                          </a:xfrm>
                          <a:prstGeom prst="rect">
                            <a:avLst/>
                          </a:prstGeom>
                        </pic:spPr>
                      </pic:pic>
                      <pic:pic>
                        <pic:nvPicPr>
                          <pic:cNvPr id="42" name="Image 42"/>
                          <pic:cNvPicPr/>
                        </pic:nvPicPr>
                        <pic:blipFill>
                          <a:blip r:embed="rId36" cstate="print"/>
                          <a:stretch>
                            <a:fillRect/>
                          </a:stretch>
                        </pic:blipFill>
                        <pic:spPr>
                          <a:xfrm>
                            <a:off x="1068324" y="16764"/>
                            <a:ext cx="645413" cy="1035558"/>
                          </a:xfrm>
                          <a:prstGeom prst="rect">
                            <a:avLst/>
                          </a:prstGeom>
                        </pic:spPr>
                      </pic:pic>
                      <pic:pic>
                        <pic:nvPicPr>
                          <pic:cNvPr id="43" name="Image 43"/>
                          <pic:cNvPicPr/>
                        </pic:nvPicPr>
                        <pic:blipFill>
                          <a:blip r:embed="rId37" cstate="print"/>
                          <a:stretch>
                            <a:fillRect/>
                          </a:stretch>
                        </pic:blipFill>
                        <pic:spPr>
                          <a:xfrm>
                            <a:off x="1068324" y="239268"/>
                            <a:ext cx="1035570" cy="1305306"/>
                          </a:xfrm>
                          <a:prstGeom prst="rect">
                            <a:avLst/>
                          </a:prstGeom>
                        </pic:spPr>
                      </pic:pic>
                      <pic:pic>
                        <pic:nvPicPr>
                          <pic:cNvPr id="44" name="Image 44"/>
                          <pic:cNvPicPr/>
                        </pic:nvPicPr>
                        <pic:blipFill>
                          <a:blip r:embed="rId38" cstate="print"/>
                          <a:stretch>
                            <a:fillRect/>
                          </a:stretch>
                        </pic:blipFill>
                        <pic:spPr>
                          <a:xfrm>
                            <a:off x="1068324" y="1046975"/>
                            <a:ext cx="910590" cy="982230"/>
                          </a:xfrm>
                          <a:prstGeom prst="rect">
                            <a:avLst/>
                          </a:prstGeom>
                        </pic:spPr>
                      </pic:pic>
                      <pic:pic>
                        <pic:nvPicPr>
                          <pic:cNvPr id="45" name="Image 45"/>
                          <pic:cNvPicPr/>
                        </pic:nvPicPr>
                        <pic:blipFill>
                          <a:blip r:embed="rId39" cstate="print"/>
                          <a:stretch>
                            <a:fillRect/>
                          </a:stretch>
                        </pic:blipFill>
                        <pic:spPr>
                          <a:xfrm>
                            <a:off x="38100" y="16764"/>
                            <a:ext cx="1360170" cy="2065782"/>
                          </a:xfrm>
                          <a:prstGeom prst="rect">
                            <a:avLst/>
                          </a:prstGeom>
                        </pic:spPr>
                      </pic:pic>
                      <wps:wsp>
                        <wps:cNvPr id="46" name="Textbox 46"/>
                        <wps:cNvSpPr txBox="1"/>
                        <wps:spPr>
                          <a:xfrm>
                            <a:off x="1127505" y="199009"/>
                            <a:ext cx="440690"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999;</w:t>
                              </w:r>
                              <w:r>
                                <w:rPr>
                                  <w:rFonts w:ascii="Calibri"/>
                                  <w:color w:val="404040"/>
                                  <w:spacing w:val="-4"/>
                                  <w:sz w:val="18"/>
                                </w:rPr>
                                <w:t> </w:t>
                              </w:r>
                              <w:r>
                                <w:rPr>
                                  <w:rFonts w:ascii="Calibri"/>
                                  <w:color w:val="404040"/>
                                  <w:spacing w:val="-5"/>
                                  <w:sz w:val="18"/>
                                </w:rPr>
                                <w:t>11%</w:t>
                              </w:r>
                            </w:p>
                          </w:txbxContent>
                        </wps:txbx>
                        <wps:bodyPr wrap="square" lIns="0" tIns="0" rIns="0" bIns="0" rtlCol="0">
                          <a:noAutofit/>
                        </wps:bodyPr>
                      </wps:wsp>
                      <wps:wsp>
                        <wps:cNvPr id="47" name="Textbox 47"/>
                        <wps:cNvSpPr txBox="1"/>
                        <wps:spPr>
                          <a:xfrm>
                            <a:off x="1384046" y="962786"/>
                            <a:ext cx="52768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2,089;</w:t>
                              </w:r>
                              <w:r>
                                <w:rPr>
                                  <w:rFonts w:ascii="Calibri"/>
                                  <w:color w:val="404040"/>
                                  <w:spacing w:val="-1"/>
                                  <w:sz w:val="18"/>
                                </w:rPr>
                                <w:t> </w:t>
                              </w:r>
                              <w:r>
                                <w:rPr>
                                  <w:rFonts w:ascii="Calibri"/>
                                  <w:color w:val="404040"/>
                                  <w:spacing w:val="-5"/>
                                  <w:sz w:val="18"/>
                                </w:rPr>
                                <w:t>22%</w:t>
                              </w:r>
                            </w:p>
                          </w:txbxContent>
                        </wps:txbx>
                        <wps:bodyPr wrap="square" lIns="0" tIns="0" rIns="0" bIns="0" rtlCol="0">
                          <a:noAutofit/>
                        </wps:bodyPr>
                      </wps:wsp>
                      <wps:wsp>
                        <wps:cNvPr id="48" name="Textbox 48"/>
                        <wps:cNvSpPr txBox="1"/>
                        <wps:spPr>
                          <a:xfrm>
                            <a:off x="220979" y="1051813"/>
                            <a:ext cx="52768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5,165;</w:t>
                              </w:r>
                              <w:r>
                                <w:rPr>
                                  <w:rFonts w:ascii="Calibri"/>
                                  <w:color w:val="404040"/>
                                  <w:spacing w:val="-1"/>
                                  <w:sz w:val="18"/>
                                </w:rPr>
                                <w:t> </w:t>
                              </w:r>
                              <w:r>
                                <w:rPr>
                                  <w:rFonts w:ascii="Calibri"/>
                                  <w:color w:val="404040"/>
                                  <w:spacing w:val="-5"/>
                                  <w:sz w:val="18"/>
                                </w:rPr>
                                <w:t>55%</w:t>
                              </w:r>
                            </w:p>
                          </w:txbxContent>
                        </wps:txbx>
                        <wps:bodyPr wrap="square" lIns="0" tIns="0" rIns="0" bIns="0" rtlCol="0">
                          <a:noAutofit/>
                        </wps:bodyPr>
                      </wps:wsp>
                      <wps:wsp>
                        <wps:cNvPr id="49" name="Textbox 49"/>
                        <wps:cNvSpPr txBox="1"/>
                        <wps:spPr>
                          <a:xfrm>
                            <a:off x="1242060" y="1569974"/>
                            <a:ext cx="527685" cy="114300"/>
                          </a:xfrm>
                          <a:prstGeom prst="rect">
                            <a:avLst/>
                          </a:prstGeom>
                        </wps:spPr>
                        <wps:txbx>
                          <w:txbxContent>
                            <w:p>
                              <w:pPr>
                                <w:spacing w:line="180" w:lineRule="exact" w:before="0"/>
                                <w:ind w:left="0" w:right="0" w:firstLine="0"/>
                                <w:jc w:val="left"/>
                                <w:rPr>
                                  <w:rFonts w:ascii="Calibri"/>
                                  <w:sz w:val="18"/>
                                </w:rPr>
                              </w:pPr>
                              <w:r>
                                <w:rPr>
                                  <w:rFonts w:ascii="Calibri"/>
                                  <w:color w:val="404040"/>
                                  <w:sz w:val="18"/>
                                </w:rPr>
                                <w:t>1,123;</w:t>
                              </w:r>
                              <w:r>
                                <w:rPr>
                                  <w:rFonts w:ascii="Calibri"/>
                                  <w:color w:val="404040"/>
                                  <w:spacing w:val="-1"/>
                                  <w:sz w:val="18"/>
                                </w:rPr>
                                <w:t> </w:t>
                              </w:r>
                              <w:r>
                                <w:rPr>
                                  <w:rFonts w:ascii="Calibri"/>
                                  <w:color w:val="404040"/>
                                  <w:spacing w:val="-5"/>
                                  <w:sz w:val="18"/>
                                </w:rPr>
                                <w:t>12%</w:t>
                              </w:r>
                            </w:p>
                          </w:txbxContent>
                        </wps:txbx>
                        <wps:bodyPr wrap="square" lIns="0" tIns="0" rIns="0" bIns="0" rtlCol="0">
                          <a:noAutofit/>
                        </wps:bodyPr>
                      </wps:wsp>
                    </wpg:wgp>
                  </a:graphicData>
                </a:graphic>
              </wp:anchor>
            </w:drawing>
          </mc:Choice>
          <mc:Fallback>
            <w:pict>
              <v:group style="position:absolute;margin-left:375pt;margin-top:-52.084023pt;width:168.6pt;height:167.65pt;mso-position-horizontal-relative:page;mso-position-vertical-relative:paragraph;z-index:15731200" id="docshapegroup31" coordorigin="7500,-1042" coordsize="3372,3353">
                <v:shape style="position:absolute;left:9136;top:-1028;width:1090;height:1707" type="#_x0000_t75" id="docshape32" stroked="false">
                  <v:imagedata r:id="rId32" o:title=""/>
                </v:shape>
                <v:shape style="position:absolute;left:9122;top:-692;width:1750;height:2175" type="#_x0000_t75" id="docshape33" stroked="false">
                  <v:imagedata r:id="rId33" o:title=""/>
                </v:shape>
                <v:shape style="position:absolute;left:9122;top:580;width:1553;height:1668" type="#_x0000_t75" id="docshape34" stroked="false">
                  <v:imagedata r:id="rId34" o:title=""/>
                </v:shape>
                <v:shape style="position:absolute;left:7500;top:-1042;width:2259;height:3353" type="#_x0000_t75" id="docshape35" stroked="false">
                  <v:imagedata r:id="rId35" o:title=""/>
                </v:shape>
                <v:shape style="position:absolute;left:9182;top:-1016;width:1017;height:1631" type="#_x0000_t75" id="docshape36" stroked="false">
                  <v:imagedata r:id="rId36" o:title=""/>
                </v:shape>
                <v:shape style="position:absolute;left:9182;top:-665;width:1631;height:2056" type="#_x0000_t75" id="docshape37" stroked="false">
                  <v:imagedata r:id="rId37" o:title=""/>
                </v:shape>
                <v:shape style="position:absolute;left:9182;top:607;width:1434;height:1547" type="#_x0000_t75" id="docshape38" stroked="false">
                  <v:imagedata r:id="rId38" o:title=""/>
                </v:shape>
                <v:shape style="position:absolute;left:7560;top:-1016;width:2142;height:3254" type="#_x0000_t75" id="docshape39" stroked="false">
                  <v:imagedata r:id="rId39" o:title=""/>
                </v:shape>
                <v:shape style="position:absolute;left:9275;top:-729;width:694;height:180" type="#_x0000_t202" id="docshape40" filled="false" stroked="false">
                  <v:textbox inset="0,0,0,0">
                    <w:txbxContent>
                      <w:p>
                        <w:pPr>
                          <w:spacing w:line="180" w:lineRule="exact" w:before="0"/>
                          <w:ind w:left="0" w:right="0" w:firstLine="0"/>
                          <w:jc w:val="left"/>
                          <w:rPr>
                            <w:rFonts w:ascii="Calibri"/>
                            <w:sz w:val="18"/>
                          </w:rPr>
                        </w:pPr>
                        <w:r>
                          <w:rPr>
                            <w:rFonts w:ascii="Calibri"/>
                            <w:color w:val="404040"/>
                            <w:sz w:val="18"/>
                          </w:rPr>
                          <w:t>999;</w:t>
                        </w:r>
                        <w:r>
                          <w:rPr>
                            <w:rFonts w:ascii="Calibri"/>
                            <w:color w:val="404040"/>
                            <w:spacing w:val="-4"/>
                            <w:sz w:val="18"/>
                          </w:rPr>
                          <w:t> </w:t>
                        </w:r>
                        <w:r>
                          <w:rPr>
                            <w:rFonts w:ascii="Calibri"/>
                            <w:color w:val="404040"/>
                            <w:spacing w:val="-5"/>
                            <w:sz w:val="18"/>
                          </w:rPr>
                          <w:t>11%</w:t>
                        </w:r>
                      </w:p>
                    </w:txbxContent>
                  </v:textbox>
                  <w10:wrap type="none"/>
                </v:shape>
                <v:shape style="position:absolute;left:9679;top:474;width:831;height:180" type="#_x0000_t202" id="docshape41" filled="false" stroked="false">
                  <v:textbox inset="0,0,0,0">
                    <w:txbxContent>
                      <w:p>
                        <w:pPr>
                          <w:spacing w:line="180" w:lineRule="exact" w:before="0"/>
                          <w:ind w:left="0" w:right="0" w:firstLine="0"/>
                          <w:jc w:val="left"/>
                          <w:rPr>
                            <w:rFonts w:ascii="Calibri"/>
                            <w:sz w:val="18"/>
                          </w:rPr>
                        </w:pPr>
                        <w:r>
                          <w:rPr>
                            <w:rFonts w:ascii="Calibri"/>
                            <w:color w:val="404040"/>
                            <w:sz w:val="18"/>
                          </w:rPr>
                          <w:t>2,089;</w:t>
                        </w:r>
                        <w:r>
                          <w:rPr>
                            <w:rFonts w:ascii="Calibri"/>
                            <w:color w:val="404040"/>
                            <w:spacing w:val="-1"/>
                            <w:sz w:val="18"/>
                          </w:rPr>
                          <w:t> </w:t>
                        </w:r>
                        <w:r>
                          <w:rPr>
                            <w:rFonts w:ascii="Calibri"/>
                            <w:color w:val="404040"/>
                            <w:spacing w:val="-5"/>
                            <w:sz w:val="18"/>
                          </w:rPr>
                          <w:t>22%</w:t>
                        </w:r>
                      </w:p>
                    </w:txbxContent>
                  </v:textbox>
                  <w10:wrap type="none"/>
                </v:shape>
                <v:shape style="position:absolute;left:7848;top:614;width:831;height:180" type="#_x0000_t202" id="docshape42" filled="false" stroked="false">
                  <v:textbox inset="0,0,0,0">
                    <w:txbxContent>
                      <w:p>
                        <w:pPr>
                          <w:spacing w:line="180" w:lineRule="exact" w:before="0"/>
                          <w:ind w:left="0" w:right="0" w:firstLine="0"/>
                          <w:jc w:val="left"/>
                          <w:rPr>
                            <w:rFonts w:ascii="Calibri"/>
                            <w:sz w:val="18"/>
                          </w:rPr>
                        </w:pPr>
                        <w:r>
                          <w:rPr>
                            <w:rFonts w:ascii="Calibri"/>
                            <w:color w:val="404040"/>
                            <w:sz w:val="18"/>
                          </w:rPr>
                          <w:t>5,165;</w:t>
                        </w:r>
                        <w:r>
                          <w:rPr>
                            <w:rFonts w:ascii="Calibri"/>
                            <w:color w:val="404040"/>
                            <w:spacing w:val="-1"/>
                            <w:sz w:val="18"/>
                          </w:rPr>
                          <w:t> </w:t>
                        </w:r>
                        <w:r>
                          <w:rPr>
                            <w:rFonts w:ascii="Calibri"/>
                            <w:color w:val="404040"/>
                            <w:spacing w:val="-5"/>
                            <w:sz w:val="18"/>
                          </w:rPr>
                          <w:t>55%</w:t>
                        </w:r>
                      </w:p>
                    </w:txbxContent>
                  </v:textbox>
                  <w10:wrap type="none"/>
                </v:shape>
                <v:shape style="position:absolute;left:9456;top:1430;width:831;height:180" type="#_x0000_t202" id="docshape43" filled="false" stroked="false">
                  <v:textbox inset="0,0,0,0">
                    <w:txbxContent>
                      <w:p>
                        <w:pPr>
                          <w:spacing w:line="180" w:lineRule="exact" w:before="0"/>
                          <w:ind w:left="0" w:right="0" w:firstLine="0"/>
                          <w:jc w:val="left"/>
                          <w:rPr>
                            <w:rFonts w:ascii="Calibri"/>
                            <w:sz w:val="18"/>
                          </w:rPr>
                        </w:pPr>
                        <w:r>
                          <w:rPr>
                            <w:rFonts w:ascii="Calibri"/>
                            <w:color w:val="404040"/>
                            <w:sz w:val="18"/>
                          </w:rPr>
                          <w:t>1,123;</w:t>
                        </w:r>
                        <w:r>
                          <w:rPr>
                            <w:rFonts w:ascii="Calibri"/>
                            <w:color w:val="404040"/>
                            <w:spacing w:val="-1"/>
                            <w:sz w:val="18"/>
                          </w:rPr>
                          <w:t> </w:t>
                        </w:r>
                        <w:r>
                          <w:rPr>
                            <w:rFonts w:ascii="Calibri"/>
                            <w:color w:val="404040"/>
                            <w:spacing w:val="-5"/>
                            <w:sz w:val="18"/>
                          </w:rPr>
                          <w:t>12%</w:t>
                        </w:r>
                      </w:p>
                    </w:txbxContent>
                  </v:textbox>
                  <w10:wrap type="none"/>
                </v:shape>
                <w10:wrap type="none"/>
              </v:group>
            </w:pict>
          </mc:Fallback>
        </mc:AlternateContent>
      </w:r>
      <w:r>
        <w:rPr/>
        <w:drawing>
          <wp:inline distT="0" distB="0" distL="0" distR="0">
            <wp:extent cx="75303" cy="75303"/>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40" cstate="print"/>
                    <a:stretch>
                      <a:fillRect/>
                    </a:stretch>
                  </pic:blipFill>
                  <pic:spPr>
                    <a:xfrm>
                      <a:off x="0" y="0"/>
                      <a:ext cx="75303" cy="75303"/>
                    </a:xfrm>
                    <a:prstGeom prst="rect">
                      <a:avLst/>
                    </a:prstGeom>
                  </pic:spPr>
                </pic:pic>
              </a:graphicData>
            </a:graphic>
          </wp:inline>
        </w:drawing>
      </w:r>
      <w:r>
        <w:rPr/>
      </w:r>
      <w:r>
        <w:rPr>
          <w:rFonts w:ascii="Times New Roman"/>
          <w:spacing w:val="-5"/>
          <w:sz w:val="20"/>
        </w:rPr>
        <w:t> </w:t>
      </w:r>
      <w:r>
        <w:rPr>
          <w:rFonts w:ascii="Calibri"/>
          <w:color w:val="585858"/>
          <w:sz w:val="21"/>
        </w:rPr>
        <w:t>Studio</w:t>
      </w:r>
      <w:r>
        <w:rPr>
          <w:rFonts w:ascii="Calibri"/>
          <w:color w:val="585858"/>
          <w:spacing w:val="-3"/>
          <w:sz w:val="21"/>
        </w:rPr>
        <w:t> </w:t>
      </w:r>
      <w:r>
        <w:rPr>
          <w:rFonts w:ascii="Calibri"/>
          <w:color w:val="585858"/>
          <w:sz w:val="21"/>
        </w:rPr>
        <w:t>&amp; 1</w:t>
      </w:r>
      <w:r>
        <w:rPr>
          <w:rFonts w:ascii="Calibri"/>
          <w:color w:val="585858"/>
          <w:spacing w:val="-1"/>
          <w:sz w:val="21"/>
        </w:rPr>
        <w:t> </w:t>
      </w:r>
      <w:r>
        <w:rPr>
          <w:rFonts w:ascii="Calibri"/>
          <w:color w:val="585858"/>
          <w:sz w:val="21"/>
        </w:rPr>
        <w:t>Bedroom</w:t>
      </w:r>
    </w:p>
    <w:p>
      <w:pPr>
        <w:spacing w:before="118"/>
        <w:ind w:left="1061" w:right="0" w:firstLine="0"/>
        <w:jc w:val="left"/>
        <w:rPr>
          <w:rFonts w:ascii="Calibri"/>
          <w:sz w:val="21"/>
        </w:rPr>
      </w:pPr>
      <w:r>
        <w:rPr/>
        <w:drawing>
          <wp:inline distT="0" distB="0" distL="0" distR="0">
            <wp:extent cx="75303" cy="75303"/>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41" cstate="print"/>
                    <a:stretch>
                      <a:fillRect/>
                    </a:stretch>
                  </pic:blipFill>
                  <pic:spPr>
                    <a:xfrm>
                      <a:off x="0" y="0"/>
                      <a:ext cx="75303" cy="75303"/>
                    </a:xfrm>
                    <a:prstGeom prst="rect">
                      <a:avLst/>
                    </a:prstGeom>
                  </pic:spPr>
                </pic:pic>
              </a:graphicData>
            </a:graphic>
          </wp:inline>
        </w:drawing>
      </w:r>
      <w:r>
        <w:rPr/>
      </w:r>
      <w:r>
        <w:rPr>
          <w:rFonts w:ascii="Times New Roman"/>
          <w:spacing w:val="-3"/>
          <w:sz w:val="20"/>
        </w:rPr>
        <w:t> </w:t>
      </w:r>
      <w:r>
        <w:rPr>
          <w:rFonts w:ascii="Calibri"/>
          <w:color w:val="585858"/>
          <w:sz w:val="21"/>
        </w:rPr>
        <w:t>2 Bedroom</w:t>
      </w:r>
    </w:p>
    <w:p>
      <w:pPr>
        <w:spacing w:before="116"/>
        <w:ind w:left="1061" w:right="0" w:firstLine="0"/>
        <w:jc w:val="left"/>
        <w:rPr>
          <w:rFonts w:ascii="Calibri"/>
          <w:sz w:val="21"/>
        </w:rPr>
      </w:pPr>
      <w:r>
        <w:rPr/>
        <w:drawing>
          <wp:inline distT="0" distB="0" distL="0" distR="0">
            <wp:extent cx="75303" cy="75303"/>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42" cstate="print"/>
                    <a:stretch>
                      <a:fillRect/>
                    </a:stretch>
                  </pic:blipFill>
                  <pic:spPr>
                    <a:xfrm>
                      <a:off x="0" y="0"/>
                      <a:ext cx="75303" cy="75303"/>
                    </a:xfrm>
                    <a:prstGeom prst="rect">
                      <a:avLst/>
                    </a:prstGeom>
                  </pic:spPr>
                </pic:pic>
              </a:graphicData>
            </a:graphic>
          </wp:inline>
        </w:drawing>
      </w:r>
      <w:r>
        <w:rPr/>
      </w:r>
      <w:r>
        <w:rPr>
          <w:rFonts w:ascii="Times New Roman"/>
          <w:spacing w:val="-3"/>
          <w:sz w:val="20"/>
        </w:rPr>
        <w:t> </w:t>
      </w:r>
      <w:r>
        <w:rPr>
          <w:rFonts w:ascii="Calibri"/>
          <w:color w:val="585858"/>
          <w:sz w:val="21"/>
        </w:rPr>
        <w:t>3 Bedroom</w:t>
      </w:r>
    </w:p>
    <w:p>
      <w:pPr>
        <w:spacing w:before="118"/>
        <w:ind w:left="1061" w:right="0" w:firstLine="0"/>
        <w:jc w:val="left"/>
        <w:rPr>
          <w:rFonts w:ascii="Calibri"/>
          <w:sz w:val="21"/>
        </w:rPr>
      </w:pPr>
      <w:r>
        <w:rPr/>
        <w:drawing>
          <wp:inline distT="0" distB="0" distL="0" distR="0">
            <wp:extent cx="75303" cy="75303"/>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43" cstate="print"/>
                    <a:stretch>
                      <a:fillRect/>
                    </a:stretch>
                  </pic:blipFill>
                  <pic:spPr>
                    <a:xfrm>
                      <a:off x="0" y="0"/>
                      <a:ext cx="75303" cy="75303"/>
                    </a:xfrm>
                    <a:prstGeom prst="rect">
                      <a:avLst/>
                    </a:prstGeom>
                  </pic:spPr>
                </pic:pic>
              </a:graphicData>
            </a:graphic>
          </wp:inline>
        </w:drawing>
      </w:r>
      <w:r>
        <w:rPr/>
      </w:r>
      <w:r>
        <w:rPr>
          <w:rFonts w:ascii="Times New Roman"/>
          <w:spacing w:val="-4"/>
          <w:sz w:val="20"/>
        </w:rPr>
        <w:t> </w:t>
      </w:r>
      <w:r>
        <w:rPr>
          <w:rFonts w:ascii="Calibri"/>
          <w:color w:val="585858"/>
          <w:sz w:val="21"/>
        </w:rPr>
        <w:t>4+ Bedroom</w:t>
      </w:r>
    </w:p>
    <w:p>
      <w:pPr>
        <w:pStyle w:val="BodyText"/>
        <w:rPr>
          <w:rFonts w:ascii="Calibri"/>
          <w:sz w:val="16"/>
        </w:rPr>
      </w:pPr>
    </w:p>
    <w:p>
      <w:pPr>
        <w:pStyle w:val="BodyText"/>
        <w:rPr>
          <w:rFonts w:ascii="Calibri"/>
          <w:sz w:val="16"/>
        </w:rPr>
      </w:pPr>
    </w:p>
    <w:p>
      <w:pPr>
        <w:pStyle w:val="BodyText"/>
        <w:rPr>
          <w:rFonts w:ascii="Calibri"/>
          <w:sz w:val="16"/>
        </w:rPr>
      </w:pPr>
    </w:p>
    <w:p>
      <w:pPr>
        <w:pStyle w:val="BodyText"/>
        <w:spacing w:before="193"/>
        <w:rPr>
          <w:rFonts w:ascii="Calibri"/>
          <w:sz w:val="16"/>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3"/>
          <w:sz w:val="16"/>
        </w:rPr>
        <w:t> </w:t>
      </w:r>
      <w:r>
        <w:rPr>
          <w:rFonts w:ascii="Arial MT"/>
          <w:spacing w:val="-2"/>
          <w:sz w:val="16"/>
        </w:rPr>
        <w:t>2021.</w:t>
      </w:r>
    </w:p>
    <w:p>
      <w:pPr>
        <w:pStyle w:val="BodyText"/>
        <w:spacing w:before="130"/>
        <w:rPr>
          <w:rFonts w:ascii="Arial MT"/>
          <w:sz w:val="16"/>
        </w:rPr>
      </w:pPr>
    </w:p>
    <w:p>
      <w:pPr>
        <w:pStyle w:val="BodyText"/>
        <w:spacing w:line="288" w:lineRule="auto"/>
        <w:ind w:left="1008" w:right="1001"/>
      </w:pPr>
      <w:r>
        <w:rPr/>
        <w:t>Figure 4 reports the average number</w:t>
      </w:r>
      <w:r>
        <w:rPr>
          <w:spacing w:val="-1"/>
        </w:rPr>
        <w:t> </w:t>
      </w:r>
      <w:r>
        <w:rPr/>
        <w:t>of beds per unit, by unit size.</w:t>
      </w:r>
      <w:r>
        <w:rPr>
          <w:spacing w:val="40"/>
        </w:rPr>
        <w:t> </w:t>
      </w:r>
      <w:r>
        <w:rPr/>
        <w:t>This generally illustrates the relatively low incidence of double-occupancy bedrooms</w:t>
      </w:r>
      <w:r>
        <w:rPr>
          <w:spacing w:val="-1"/>
        </w:rPr>
        <w:t> </w:t>
      </w:r>
      <w:r>
        <w:rPr/>
        <w:t>among bed-leased units.</w:t>
      </w:r>
      <w:r>
        <w:rPr>
          <w:spacing w:val="40"/>
        </w:rPr>
        <w:t> </w:t>
      </w:r>
      <w:r>
        <w:rPr/>
        <w:t>The number</w:t>
      </w:r>
      <w:r>
        <w:rPr>
          <w:spacing w:val="-13"/>
        </w:rPr>
        <w:t> </w:t>
      </w:r>
      <w:r>
        <w:rPr/>
        <w:t>of</w:t>
      </w:r>
      <w:r>
        <w:rPr>
          <w:spacing w:val="-14"/>
        </w:rPr>
        <w:t> </w:t>
      </w:r>
      <w:r>
        <w:rPr/>
        <w:t>double-occupancy</w:t>
      </w:r>
      <w:r>
        <w:rPr>
          <w:spacing w:val="-11"/>
        </w:rPr>
        <w:t> </w:t>
      </w:r>
      <w:r>
        <w:rPr/>
        <w:t>bedrooms</w:t>
      </w:r>
      <w:r>
        <w:rPr>
          <w:spacing w:val="-11"/>
        </w:rPr>
        <w:t> </w:t>
      </w:r>
      <w:r>
        <w:rPr/>
        <w:t>was</w:t>
      </w:r>
      <w:r>
        <w:rPr>
          <w:spacing w:val="-12"/>
        </w:rPr>
        <w:t> </w:t>
      </w:r>
      <w:r>
        <w:rPr/>
        <w:t>similar</w:t>
      </w:r>
      <w:r>
        <w:rPr>
          <w:spacing w:val="-14"/>
        </w:rPr>
        <w:t> </w:t>
      </w:r>
      <w:r>
        <w:rPr/>
        <w:t>among</w:t>
      </w:r>
      <w:r>
        <w:rPr>
          <w:spacing w:val="-12"/>
        </w:rPr>
        <w:t> </w:t>
      </w:r>
      <w:r>
        <w:rPr/>
        <w:t>the</w:t>
      </w:r>
      <w:r>
        <w:rPr>
          <w:spacing w:val="-12"/>
        </w:rPr>
        <w:t> </w:t>
      </w:r>
      <w:r>
        <w:rPr/>
        <w:t>various</w:t>
      </w:r>
      <w:r>
        <w:rPr>
          <w:spacing w:val="-12"/>
        </w:rPr>
        <w:t> </w:t>
      </w:r>
      <w:r>
        <w:rPr/>
        <w:t>unit</w:t>
      </w:r>
      <w:r>
        <w:rPr>
          <w:spacing w:val="-12"/>
        </w:rPr>
        <w:t> </w:t>
      </w:r>
      <w:r>
        <w:rPr/>
        <w:t>types,</w:t>
      </w:r>
      <w:r>
        <w:rPr>
          <w:spacing w:val="-12"/>
        </w:rPr>
        <w:t> </w:t>
      </w:r>
      <w:r>
        <w:rPr/>
        <w:t>though</w:t>
      </w:r>
      <w:r>
        <w:rPr>
          <w:spacing w:val="-14"/>
        </w:rPr>
        <w:t> </w:t>
      </w:r>
      <w:r>
        <w:rPr/>
        <w:t>four- bedroom and two-bedroom units reported</w:t>
      </w:r>
      <w:r>
        <w:rPr>
          <w:spacing w:val="-1"/>
        </w:rPr>
        <w:t> </w:t>
      </w:r>
      <w:r>
        <w:rPr/>
        <w:t>a</w:t>
      </w:r>
      <w:r>
        <w:rPr>
          <w:spacing w:val="-1"/>
        </w:rPr>
        <w:t> </w:t>
      </w:r>
      <w:r>
        <w:rPr/>
        <w:t>slightly</w:t>
      </w:r>
      <w:r>
        <w:rPr>
          <w:spacing w:val="-3"/>
        </w:rPr>
        <w:t> </w:t>
      </w:r>
      <w:r>
        <w:rPr/>
        <w:t>higher number of</w:t>
      </w:r>
      <w:r>
        <w:rPr>
          <w:spacing w:val="-1"/>
        </w:rPr>
        <w:t> </w:t>
      </w:r>
      <w:r>
        <w:rPr/>
        <w:t>double-occupancy</w:t>
      </w:r>
      <w:r>
        <w:rPr/>
        <w:t> rooms.</w:t>
      </w:r>
      <w:r>
        <w:rPr>
          <w:spacing w:val="34"/>
        </w:rPr>
        <w:t> </w:t>
      </w:r>
      <w:r>
        <w:rPr/>
        <w:t>Compared</w:t>
      </w:r>
      <w:r>
        <w:rPr>
          <w:spacing w:val="-10"/>
        </w:rPr>
        <w:t> </w:t>
      </w:r>
      <w:r>
        <w:rPr/>
        <w:t>to</w:t>
      </w:r>
      <w:r>
        <w:rPr>
          <w:spacing w:val="-10"/>
        </w:rPr>
        <w:t> </w:t>
      </w:r>
      <w:r>
        <w:rPr/>
        <w:t>2020,</w:t>
      </w:r>
      <w:r>
        <w:rPr>
          <w:spacing w:val="-10"/>
        </w:rPr>
        <w:t> </w:t>
      </w:r>
      <w:r>
        <w:rPr/>
        <w:t>the</w:t>
      </w:r>
      <w:r>
        <w:rPr>
          <w:spacing w:val="-12"/>
        </w:rPr>
        <w:t> </w:t>
      </w:r>
      <w:r>
        <w:rPr/>
        <w:t>data</w:t>
      </w:r>
      <w:r>
        <w:rPr>
          <w:spacing w:val="-10"/>
        </w:rPr>
        <w:t> </w:t>
      </w:r>
      <w:r>
        <w:rPr/>
        <w:t>indicate</w:t>
      </w:r>
      <w:r>
        <w:rPr>
          <w:spacing w:val="-12"/>
        </w:rPr>
        <w:t> </w:t>
      </w:r>
      <w:r>
        <w:rPr/>
        <w:t>a</w:t>
      </w:r>
      <w:r>
        <w:rPr>
          <w:spacing w:val="-10"/>
        </w:rPr>
        <w:t> </w:t>
      </w:r>
      <w:r>
        <w:rPr/>
        <w:t>minor</w:t>
      </w:r>
      <w:r>
        <w:rPr>
          <w:spacing w:val="-9"/>
        </w:rPr>
        <w:t> </w:t>
      </w:r>
      <w:r>
        <w:rPr/>
        <w:t>increase</w:t>
      </w:r>
      <w:r>
        <w:rPr>
          <w:spacing w:val="-10"/>
        </w:rPr>
        <w:t> </w:t>
      </w:r>
      <w:r>
        <w:rPr/>
        <w:t>in</w:t>
      </w:r>
      <w:r>
        <w:rPr>
          <w:spacing w:val="-10"/>
        </w:rPr>
        <w:t> </w:t>
      </w:r>
      <w:r>
        <w:rPr/>
        <w:t>the</w:t>
      </w:r>
      <w:r>
        <w:rPr>
          <w:spacing w:val="-10"/>
        </w:rPr>
        <w:t> </w:t>
      </w:r>
      <w:r>
        <w:rPr/>
        <w:t>prevalence</w:t>
      </w:r>
      <w:r>
        <w:rPr>
          <w:spacing w:val="-10"/>
        </w:rPr>
        <w:t> </w:t>
      </w:r>
      <w:r>
        <w:rPr/>
        <w:t>of</w:t>
      </w:r>
      <w:r>
        <w:rPr>
          <w:spacing w:val="-12"/>
        </w:rPr>
        <w:t> </w:t>
      </w:r>
      <w:r>
        <w:rPr/>
        <w:t>double-ups among smaller units, or those with less than</w:t>
      </w:r>
      <w:r>
        <w:rPr>
          <w:spacing w:val="-1"/>
        </w:rPr>
        <w:t> </w:t>
      </w:r>
      <w:r>
        <w:rPr/>
        <w:t>four bedrooms, and a</w:t>
      </w:r>
      <w:r>
        <w:rPr>
          <w:spacing w:val="-1"/>
        </w:rPr>
        <w:t> </w:t>
      </w:r>
      <w:r>
        <w:rPr/>
        <w:t>minor</w:t>
      </w:r>
      <w:r>
        <w:rPr>
          <w:spacing w:val="-2"/>
        </w:rPr>
        <w:t> </w:t>
      </w:r>
      <w:r>
        <w:rPr/>
        <w:t>decrease in the prevalence of double-ups in units with four or more bedrooms.</w:t>
      </w:r>
      <w:r>
        <w:rPr>
          <w:spacing w:val="40"/>
        </w:rPr>
        <w:t> </w:t>
      </w:r>
      <w:r>
        <w:rPr/>
        <w:t>The number of double-ups, however, is more comparable to the 2019 survey results, suggesting</w:t>
      </w:r>
      <w:r>
        <w:rPr>
          <w:spacing w:val="-1"/>
        </w:rPr>
        <w:t> </w:t>
      </w:r>
      <w:r>
        <w:rPr/>
        <w:t>2020 occupancy trends may have been impacted</w:t>
      </w:r>
      <w:r>
        <w:rPr>
          <w:spacing w:val="-2"/>
        </w:rPr>
        <w:t> </w:t>
      </w:r>
      <w:r>
        <w:rPr/>
        <w:t>by the Coronavirus pandemic and that residents were more comfortable doubling up for the 2021 leasing season.</w:t>
      </w:r>
    </w:p>
    <w:p>
      <w:pPr>
        <w:pStyle w:val="BodyText"/>
        <w:spacing w:after="0" w:line="288" w:lineRule="auto"/>
        <w:sectPr>
          <w:pgSz w:w="12240" w:h="15840"/>
          <w:pgMar w:header="0" w:footer="502" w:top="1700" w:bottom="700" w:left="720" w:right="720"/>
        </w:sectPr>
      </w:pPr>
    </w:p>
    <w:p>
      <w:pPr>
        <w:spacing w:before="78"/>
        <w:ind w:left="1008" w:right="0" w:firstLine="0"/>
        <w:jc w:val="left"/>
        <w:rPr>
          <w:i/>
          <w:sz w:val="22"/>
        </w:rPr>
      </w:pPr>
      <w:r>
        <w:rPr>
          <w:i/>
          <w:sz w:val="22"/>
        </w:rPr>
        <w:t>Figure</w:t>
      </w:r>
      <w:r>
        <w:rPr>
          <w:i/>
          <w:spacing w:val="-6"/>
          <w:sz w:val="22"/>
        </w:rPr>
        <w:t> </w:t>
      </w:r>
      <w:r>
        <w:rPr>
          <w:i/>
          <w:sz w:val="22"/>
        </w:rPr>
        <w:t>4:</w:t>
      </w:r>
      <w:r>
        <w:rPr>
          <w:i/>
          <w:spacing w:val="40"/>
          <w:sz w:val="22"/>
        </w:rPr>
        <w:t> </w:t>
      </w:r>
      <w:r>
        <w:rPr>
          <w:i/>
          <w:sz w:val="22"/>
        </w:rPr>
        <w:t>Average</w:t>
      </w:r>
      <w:r>
        <w:rPr>
          <w:i/>
          <w:spacing w:val="-5"/>
          <w:sz w:val="22"/>
        </w:rPr>
        <w:t> </w:t>
      </w:r>
      <w:r>
        <w:rPr>
          <w:i/>
          <w:sz w:val="22"/>
        </w:rPr>
        <w:t>Number</w:t>
      </w:r>
      <w:r>
        <w:rPr>
          <w:i/>
          <w:spacing w:val="-6"/>
          <w:sz w:val="22"/>
        </w:rPr>
        <w:t> </w:t>
      </w:r>
      <w:r>
        <w:rPr>
          <w:i/>
          <w:sz w:val="22"/>
        </w:rPr>
        <w:t>of</w:t>
      </w:r>
      <w:r>
        <w:rPr>
          <w:i/>
          <w:spacing w:val="-6"/>
          <w:sz w:val="22"/>
        </w:rPr>
        <w:t> </w:t>
      </w:r>
      <w:r>
        <w:rPr>
          <w:i/>
          <w:sz w:val="22"/>
        </w:rPr>
        <w:t>Beds</w:t>
      </w:r>
      <w:r>
        <w:rPr>
          <w:i/>
          <w:spacing w:val="-7"/>
          <w:sz w:val="22"/>
        </w:rPr>
        <w:t> </w:t>
      </w:r>
      <w:r>
        <w:rPr>
          <w:i/>
          <w:sz w:val="22"/>
        </w:rPr>
        <w:t>Per</w:t>
      </w:r>
      <w:r>
        <w:rPr>
          <w:i/>
          <w:spacing w:val="-5"/>
          <w:sz w:val="22"/>
        </w:rPr>
        <w:t> </w:t>
      </w:r>
      <w:r>
        <w:rPr>
          <w:i/>
          <w:sz w:val="22"/>
        </w:rPr>
        <w:t>Bed-Leased</w:t>
      </w:r>
      <w:r>
        <w:rPr>
          <w:i/>
          <w:spacing w:val="-10"/>
          <w:sz w:val="22"/>
        </w:rPr>
        <w:t> </w:t>
      </w:r>
      <w:r>
        <w:rPr>
          <w:i/>
          <w:spacing w:val="-4"/>
          <w:sz w:val="22"/>
        </w:rPr>
        <w:t>Unit</w:t>
      </w:r>
    </w:p>
    <w:p>
      <w:pPr>
        <w:pStyle w:val="BodyText"/>
        <w:rPr>
          <w:i/>
          <w:sz w:val="18"/>
        </w:rPr>
      </w:pPr>
    </w:p>
    <w:p>
      <w:pPr>
        <w:pStyle w:val="BodyText"/>
        <w:rPr>
          <w:i/>
          <w:sz w:val="18"/>
        </w:rPr>
      </w:pPr>
    </w:p>
    <w:p>
      <w:pPr>
        <w:pStyle w:val="BodyText"/>
        <w:spacing w:before="68"/>
        <w:rPr>
          <w:i/>
          <w:sz w:val="18"/>
        </w:rPr>
      </w:pPr>
    </w:p>
    <w:p>
      <w:pPr>
        <w:spacing w:before="0"/>
        <w:ind w:left="1302"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32224">
                <wp:simplePos x="0" y="0"/>
                <wp:positionH relativeFrom="page">
                  <wp:posOffset>2418569</wp:posOffset>
                </wp:positionH>
                <wp:positionV relativeFrom="paragraph">
                  <wp:posOffset>-265535</wp:posOffset>
                </wp:positionV>
                <wp:extent cx="3903979" cy="1843405"/>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3903979" cy="1843405"/>
                          <a:chExt cx="3903979" cy="1843405"/>
                        </a:xfrm>
                      </wpg:grpSpPr>
                      <pic:pic>
                        <pic:nvPicPr>
                          <pic:cNvPr id="55" name="Image 55"/>
                          <pic:cNvPicPr/>
                        </pic:nvPicPr>
                        <pic:blipFill>
                          <a:blip r:embed="rId44" cstate="print"/>
                          <a:stretch>
                            <a:fillRect/>
                          </a:stretch>
                        </pic:blipFill>
                        <pic:spPr>
                          <a:xfrm>
                            <a:off x="0" y="0"/>
                            <a:ext cx="3903787" cy="1843361"/>
                          </a:xfrm>
                          <a:prstGeom prst="rect">
                            <a:avLst/>
                          </a:prstGeom>
                        </pic:spPr>
                      </pic:pic>
                      <wps:wsp>
                        <wps:cNvPr id="56" name="Textbox 56"/>
                        <wps:cNvSpPr txBox="1"/>
                        <wps:spPr>
                          <a:xfrm>
                            <a:off x="1205248" y="255706"/>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1.4</w:t>
                              </w:r>
                            </w:p>
                          </w:txbxContent>
                        </wps:txbx>
                        <wps:bodyPr wrap="square" lIns="0" tIns="0" rIns="0" bIns="0" rtlCol="0">
                          <a:noAutofit/>
                        </wps:bodyPr>
                      </wps:wsp>
                      <wps:wsp>
                        <wps:cNvPr id="57" name="Textbox 57"/>
                        <wps:cNvSpPr txBox="1"/>
                        <wps:spPr>
                          <a:xfrm>
                            <a:off x="2053100" y="683950"/>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2.5</w:t>
                              </w:r>
                            </w:p>
                          </w:txbxContent>
                        </wps:txbx>
                        <wps:bodyPr wrap="square" lIns="0" tIns="0" rIns="0" bIns="0" rtlCol="0">
                          <a:noAutofit/>
                        </wps:bodyPr>
                      </wps:wsp>
                      <wps:wsp>
                        <wps:cNvPr id="58" name="Textbox 58"/>
                        <wps:cNvSpPr txBox="1"/>
                        <wps:spPr>
                          <a:xfrm>
                            <a:off x="2598692" y="1112448"/>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3.3</w:t>
                              </w:r>
                            </w:p>
                          </w:txbxContent>
                        </wps:txbx>
                        <wps:bodyPr wrap="square" lIns="0" tIns="0" rIns="0" bIns="0" rtlCol="0">
                          <a:noAutofit/>
                        </wps:bodyPr>
                      </wps:wsp>
                      <wps:wsp>
                        <wps:cNvPr id="59" name="Textbox 59"/>
                        <wps:cNvSpPr txBox="1"/>
                        <wps:spPr>
                          <a:xfrm>
                            <a:off x="3621296" y="1541073"/>
                            <a:ext cx="15748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4.6</w:t>
                              </w:r>
                            </w:p>
                          </w:txbxContent>
                        </wps:txbx>
                        <wps:bodyPr wrap="square" lIns="0" tIns="0" rIns="0" bIns="0" rtlCol="0">
                          <a:noAutofit/>
                        </wps:bodyPr>
                      </wps:wsp>
                    </wpg:wgp>
                  </a:graphicData>
                </a:graphic>
              </wp:anchor>
            </w:drawing>
          </mc:Choice>
          <mc:Fallback>
            <w:pict>
              <v:group style="position:absolute;margin-left:190.438538pt;margin-top:-20.908342pt;width:307.4pt;height:145.15pt;mso-position-horizontal-relative:page;mso-position-vertical-relative:paragraph;z-index:15732224" id="docshapegroup44" coordorigin="3809,-418" coordsize="6148,2903">
                <v:shape style="position:absolute;left:3808;top:-419;width:6148;height:2903" type="#_x0000_t75" id="docshape45" stroked="false">
                  <v:imagedata r:id="rId44" o:title=""/>
                </v:shape>
                <v:shape style="position:absolute;left:5706;top:-16;width:248;height:180" type="#_x0000_t202" id="docshape4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1.4</w:t>
                        </w:r>
                      </w:p>
                    </w:txbxContent>
                  </v:textbox>
                  <w10:wrap type="none"/>
                </v:shape>
                <v:shape style="position:absolute;left:7042;top:658;width:248;height:180" type="#_x0000_t202" id="docshape4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2.5</w:t>
                        </w:r>
                      </w:p>
                    </w:txbxContent>
                  </v:textbox>
                  <w10:wrap type="none"/>
                </v:shape>
                <v:shape style="position:absolute;left:7901;top:1333;width:248;height:180" type="#_x0000_t202" id="docshape4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3.3</w:t>
                        </w:r>
                      </w:p>
                    </w:txbxContent>
                  </v:textbox>
                  <w10:wrap type="none"/>
                </v:shape>
                <v:shape style="position:absolute;left:9511;top:2008;width:248;height:180" type="#_x0000_t202" id="docshape4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4.6</w:t>
                        </w:r>
                      </w:p>
                    </w:txbxContent>
                  </v:textbox>
                  <w10:wrap type="none"/>
                </v:shape>
                <w10:wrap type="none"/>
              </v:group>
            </w:pict>
          </mc:Fallback>
        </mc:AlternateContent>
      </w:r>
      <w:r>
        <w:rPr>
          <w:rFonts w:ascii="Calibri"/>
          <w:color w:val="585858"/>
          <w:sz w:val="18"/>
        </w:rPr>
        <w:t>Studio</w:t>
      </w:r>
      <w:r>
        <w:rPr>
          <w:rFonts w:ascii="Calibri"/>
          <w:color w:val="585858"/>
          <w:spacing w:val="-4"/>
          <w:sz w:val="18"/>
        </w:rPr>
        <w:t> </w:t>
      </w:r>
      <w:r>
        <w:rPr>
          <w:rFonts w:ascii="Calibri"/>
          <w:color w:val="585858"/>
          <w:sz w:val="18"/>
        </w:rPr>
        <w:t>and 1</w:t>
      </w:r>
      <w:r>
        <w:rPr>
          <w:rFonts w:ascii="Calibri"/>
          <w:color w:val="585858"/>
          <w:spacing w:val="-1"/>
          <w:sz w:val="18"/>
        </w:rPr>
        <w:t> </w:t>
      </w:r>
      <w:r>
        <w:rPr>
          <w:rFonts w:ascii="Calibri"/>
          <w:color w:val="585858"/>
          <w:spacing w:val="-2"/>
          <w:sz w:val="18"/>
        </w:rPr>
        <w:t>Bedroom</w:t>
      </w:r>
    </w:p>
    <w:p>
      <w:pPr>
        <w:pStyle w:val="BodyText"/>
        <w:rPr>
          <w:rFonts w:ascii="Calibri"/>
          <w:sz w:val="18"/>
        </w:rPr>
      </w:pPr>
    </w:p>
    <w:p>
      <w:pPr>
        <w:pStyle w:val="BodyText"/>
        <w:spacing w:before="16"/>
        <w:rPr>
          <w:rFonts w:ascii="Calibri"/>
          <w:sz w:val="18"/>
        </w:rPr>
      </w:pPr>
    </w:p>
    <w:p>
      <w:pPr>
        <w:pStyle w:val="ListParagraph"/>
        <w:numPr>
          <w:ilvl w:val="1"/>
          <w:numId w:val="1"/>
        </w:numPr>
        <w:tabs>
          <w:tab w:pos="2259" w:val="left" w:leader="none"/>
        </w:tabs>
        <w:spacing w:line="240" w:lineRule="auto" w:before="0" w:after="0"/>
        <w:ind w:left="2259" w:right="0" w:hanging="131"/>
        <w:jc w:val="left"/>
        <w:rPr>
          <w:rFonts w:ascii="Calibri"/>
          <w:sz w:val="18"/>
        </w:rPr>
      </w:pPr>
      <w:r>
        <w:rPr>
          <w:rFonts w:ascii="Calibri"/>
          <w:color w:val="585858"/>
          <w:spacing w:val="-2"/>
          <w:sz w:val="18"/>
        </w:rPr>
        <w:t>Bedroom</w:t>
      </w:r>
    </w:p>
    <w:p>
      <w:pPr>
        <w:pStyle w:val="BodyText"/>
        <w:rPr>
          <w:rFonts w:ascii="Calibri"/>
          <w:sz w:val="18"/>
        </w:rPr>
      </w:pPr>
    </w:p>
    <w:p>
      <w:pPr>
        <w:pStyle w:val="BodyText"/>
        <w:spacing w:before="15"/>
        <w:rPr>
          <w:rFonts w:ascii="Calibri"/>
          <w:sz w:val="18"/>
        </w:rPr>
      </w:pPr>
    </w:p>
    <w:p>
      <w:pPr>
        <w:pStyle w:val="ListParagraph"/>
        <w:numPr>
          <w:ilvl w:val="1"/>
          <w:numId w:val="1"/>
        </w:numPr>
        <w:tabs>
          <w:tab w:pos="2259" w:val="left" w:leader="none"/>
        </w:tabs>
        <w:spacing w:line="240" w:lineRule="auto" w:before="0" w:after="0"/>
        <w:ind w:left="2259" w:right="0" w:hanging="131"/>
        <w:jc w:val="left"/>
        <w:rPr>
          <w:rFonts w:ascii="Calibri"/>
          <w:sz w:val="18"/>
        </w:rPr>
      </w:pPr>
      <w:r>
        <w:rPr>
          <w:rFonts w:ascii="Calibri"/>
          <w:color w:val="585858"/>
          <w:spacing w:val="-2"/>
          <w:sz w:val="18"/>
        </w:rPr>
        <w:t>Bedroom</w:t>
      </w:r>
    </w:p>
    <w:p>
      <w:pPr>
        <w:pStyle w:val="BodyText"/>
        <w:rPr>
          <w:rFonts w:ascii="Calibri"/>
          <w:sz w:val="18"/>
        </w:rPr>
      </w:pPr>
    </w:p>
    <w:p>
      <w:pPr>
        <w:pStyle w:val="BodyText"/>
        <w:spacing w:before="16"/>
        <w:rPr>
          <w:rFonts w:ascii="Calibri"/>
          <w:sz w:val="18"/>
        </w:rPr>
      </w:pPr>
    </w:p>
    <w:p>
      <w:pPr>
        <w:spacing w:before="0"/>
        <w:ind w:left="2038" w:right="0" w:firstLine="0"/>
        <w:jc w:val="left"/>
        <w:rPr>
          <w:rFonts w:ascii="Calibri"/>
          <w:sz w:val="18"/>
        </w:rPr>
      </w:pPr>
      <w:r>
        <w:rPr>
          <w:rFonts w:ascii="Calibri"/>
          <w:color w:val="585858"/>
          <w:sz w:val="18"/>
        </w:rPr>
        <w:t>4+</w:t>
      </w:r>
      <w:r>
        <w:rPr>
          <w:rFonts w:ascii="Calibri"/>
          <w:color w:val="585858"/>
          <w:spacing w:val="-1"/>
          <w:sz w:val="18"/>
        </w:rPr>
        <w:t> </w:t>
      </w:r>
      <w:r>
        <w:rPr>
          <w:rFonts w:ascii="Calibri"/>
          <w:color w:val="585858"/>
          <w:spacing w:val="-2"/>
          <w:sz w:val="18"/>
        </w:rPr>
        <w:t>Bedroom</w:t>
      </w:r>
    </w:p>
    <w:p>
      <w:pPr>
        <w:pStyle w:val="BodyText"/>
        <w:spacing w:before="123"/>
        <w:rPr>
          <w:rFonts w:ascii="Calibri"/>
          <w:sz w:val="18"/>
        </w:rPr>
      </w:pPr>
    </w:p>
    <w:p>
      <w:pPr>
        <w:tabs>
          <w:tab w:pos="3581" w:val="left" w:leader="none"/>
          <w:tab w:pos="4170" w:val="left" w:leader="none"/>
          <w:tab w:pos="4759" w:val="left" w:leader="none"/>
          <w:tab w:pos="5348" w:val="left" w:leader="none"/>
          <w:tab w:pos="5936" w:val="left" w:leader="none"/>
          <w:tab w:pos="6525" w:val="left" w:leader="none"/>
          <w:tab w:pos="7114" w:val="left" w:leader="none"/>
          <w:tab w:pos="7703" w:val="left" w:leader="none"/>
          <w:tab w:pos="8291" w:val="left" w:leader="none"/>
          <w:tab w:pos="8880" w:val="left" w:leader="none"/>
        </w:tabs>
        <w:spacing w:before="0"/>
        <w:ind w:left="3038" w:right="0" w:firstLine="0"/>
        <w:jc w:val="left"/>
        <w:rPr>
          <w:rFonts w:ascii="Calibri"/>
          <w:sz w:val="18"/>
        </w:rPr>
      </w:pPr>
      <w:r>
        <w:rPr>
          <w:rFonts w:ascii="Calibri"/>
          <w:color w:val="585858"/>
          <w:spacing w:val="-10"/>
          <w:sz w:val="18"/>
        </w:rPr>
        <w:t>-</w:t>
      </w:r>
      <w:r>
        <w:rPr>
          <w:rFonts w:ascii="Calibri"/>
          <w:color w:val="585858"/>
          <w:sz w:val="18"/>
        </w:rPr>
        <w:tab/>
      </w:r>
      <w:r>
        <w:rPr>
          <w:rFonts w:ascii="Calibri"/>
          <w:color w:val="585858"/>
          <w:spacing w:val="-5"/>
          <w:sz w:val="18"/>
        </w:rPr>
        <w:t>0.5</w:t>
      </w:r>
      <w:r>
        <w:rPr>
          <w:rFonts w:ascii="Calibri"/>
          <w:color w:val="585858"/>
          <w:sz w:val="18"/>
        </w:rPr>
        <w:tab/>
      </w:r>
      <w:r>
        <w:rPr>
          <w:rFonts w:ascii="Calibri"/>
          <w:color w:val="585858"/>
          <w:spacing w:val="-5"/>
          <w:sz w:val="18"/>
        </w:rPr>
        <w:t>1.0</w:t>
      </w:r>
      <w:r>
        <w:rPr>
          <w:rFonts w:ascii="Calibri"/>
          <w:color w:val="585858"/>
          <w:sz w:val="18"/>
        </w:rPr>
        <w:tab/>
      </w:r>
      <w:r>
        <w:rPr>
          <w:rFonts w:ascii="Calibri"/>
          <w:color w:val="585858"/>
          <w:spacing w:val="-5"/>
          <w:sz w:val="18"/>
        </w:rPr>
        <w:t>1.5</w:t>
      </w:r>
      <w:r>
        <w:rPr>
          <w:rFonts w:ascii="Calibri"/>
          <w:color w:val="585858"/>
          <w:sz w:val="18"/>
        </w:rPr>
        <w:tab/>
      </w:r>
      <w:r>
        <w:rPr>
          <w:rFonts w:ascii="Calibri"/>
          <w:color w:val="585858"/>
          <w:spacing w:val="-5"/>
          <w:sz w:val="18"/>
        </w:rPr>
        <w:t>2.0</w:t>
      </w:r>
      <w:r>
        <w:rPr>
          <w:rFonts w:ascii="Calibri"/>
          <w:color w:val="585858"/>
          <w:sz w:val="18"/>
        </w:rPr>
        <w:tab/>
      </w:r>
      <w:r>
        <w:rPr>
          <w:rFonts w:ascii="Calibri"/>
          <w:color w:val="585858"/>
          <w:spacing w:val="-5"/>
          <w:sz w:val="18"/>
        </w:rPr>
        <w:t>2.5</w:t>
      </w:r>
      <w:r>
        <w:rPr>
          <w:rFonts w:ascii="Calibri"/>
          <w:color w:val="585858"/>
          <w:sz w:val="18"/>
        </w:rPr>
        <w:tab/>
      </w:r>
      <w:r>
        <w:rPr>
          <w:rFonts w:ascii="Calibri"/>
          <w:color w:val="585858"/>
          <w:spacing w:val="-5"/>
          <w:sz w:val="18"/>
        </w:rPr>
        <w:t>3.0</w:t>
      </w:r>
      <w:r>
        <w:rPr>
          <w:rFonts w:ascii="Calibri"/>
          <w:color w:val="585858"/>
          <w:sz w:val="18"/>
        </w:rPr>
        <w:tab/>
      </w:r>
      <w:r>
        <w:rPr>
          <w:rFonts w:ascii="Calibri"/>
          <w:color w:val="585858"/>
          <w:spacing w:val="-5"/>
          <w:sz w:val="18"/>
        </w:rPr>
        <w:t>3.5</w:t>
      </w:r>
      <w:r>
        <w:rPr>
          <w:rFonts w:ascii="Calibri"/>
          <w:color w:val="585858"/>
          <w:sz w:val="18"/>
        </w:rPr>
        <w:tab/>
      </w:r>
      <w:r>
        <w:rPr>
          <w:rFonts w:ascii="Calibri"/>
          <w:color w:val="585858"/>
          <w:spacing w:val="-5"/>
          <w:sz w:val="18"/>
        </w:rPr>
        <w:t>4.0</w:t>
      </w:r>
      <w:r>
        <w:rPr>
          <w:rFonts w:ascii="Calibri"/>
          <w:color w:val="585858"/>
          <w:sz w:val="18"/>
        </w:rPr>
        <w:tab/>
      </w:r>
      <w:r>
        <w:rPr>
          <w:rFonts w:ascii="Calibri"/>
          <w:color w:val="585858"/>
          <w:spacing w:val="-5"/>
          <w:sz w:val="18"/>
        </w:rPr>
        <w:t>4.5</w:t>
      </w:r>
      <w:r>
        <w:rPr>
          <w:rFonts w:ascii="Calibri"/>
          <w:color w:val="585858"/>
          <w:sz w:val="18"/>
        </w:rPr>
        <w:tab/>
      </w:r>
      <w:r>
        <w:rPr>
          <w:rFonts w:ascii="Calibri"/>
          <w:color w:val="585858"/>
          <w:spacing w:val="-5"/>
          <w:sz w:val="18"/>
        </w:rPr>
        <w:t>5.0</w:t>
      </w:r>
    </w:p>
    <w:p>
      <w:pPr>
        <w:spacing w:before="175"/>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3"/>
          <w:sz w:val="16"/>
        </w:rPr>
        <w:t> </w:t>
      </w:r>
      <w:r>
        <w:rPr>
          <w:rFonts w:ascii="Arial MT"/>
          <w:spacing w:val="-2"/>
          <w:sz w:val="16"/>
        </w:rPr>
        <w:t>2021.</w:t>
      </w:r>
    </w:p>
    <w:p>
      <w:pPr>
        <w:pStyle w:val="BodyText"/>
        <w:spacing w:before="166"/>
        <w:rPr>
          <w:rFonts w:ascii="Arial MT"/>
          <w:sz w:val="16"/>
        </w:rPr>
      </w:pPr>
    </w:p>
    <w:p>
      <w:pPr>
        <w:pStyle w:val="BodyText"/>
        <w:spacing w:line="288" w:lineRule="auto" w:before="1"/>
        <w:ind w:left="1008" w:right="1001"/>
      </w:pPr>
      <w:r>
        <w:rPr/>
        <w:t>As documented in Table 2, respondents reported 225 vacant beds in 2021.</w:t>
      </w:r>
      <w:r>
        <w:rPr>
          <w:spacing w:val="40"/>
        </w:rPr>
        <w:t> </w:t>
      </w:r>
      <w:r>
        <w:rPr/>
        <w:t>This equals a vacancy rate</w:t>
      </w:r>
      <w:r>
        <w:rPr>
          <w:spacing w:val="-1"/>
        </w:rPr>
        <w:t> </w:t>
      </w:r>
      <w:r>
        <w:rPr/>
        <w:t>of 2.4 percent.</w:t>
      </w:r>
      <w:r>
        <w:rPr>
          <w:spacing w:val="40"/>
        </w:rPr>
        <w:t> </w:t>
      </w:r>
      <w:r>
        <w:rPr/>
        <w:t>While this vacancy rate is well below the rate reported in</w:t>
      </w:r>
      <w:r>
        <w:rPr>
          <w:spacing w:val="-1"/>
        </w:rPr>
        <w:t> </w:t>
      </w:r>
      <w:r>
        <w:rPr/>
        <w:t>2020 (29.8</w:t>
      </w:r>
      <w:r>
        <w:rPr>
          <w:spacing w:val="-13"/>
        </w:rPr>
        <w:t> </w:t>
      </w:r>
      <w:r>
        <w:rPr/>
        <w:t>percent),</w:t>
      </w:r>
      <w:r>
        <w:rPr>
          <w:spacing w:val="-12"/>
        </w:rPr>
        <w:t> </w:t>
      </w:r>
      <w:r>
        <w:rPr/>
        <w:t>it</w:t>
      </w:r>
      <w:r>
        <w:rPr>
          <w:spacing w:val="-13"/>
        </w:rPr>
        <w:t> </w:t>
      </w:r>
      <w:r>
        <w:rPr/>
        <w:t>is</w:t>
      </w:r>
      <w:r>
        <w:rPr>
          <w:spacing w:val="-14"/>
        </w:rPr>
        <w:t> </w:t>
      </w:r>
      <w:r>
        <w:rPr/>
        <w:t>comparable</w:t>
      </w:r>
      <w:r>
        <w:rPr>
          <w:spacing w:val="-12"/>
        </w:rPr>
        <w:t> </w:t>
      </w:r>
      <w:r>
        <w:rPr/>
        <w:t>to</w:t>
      </w:r>
      <w:r>
        <w:rPr>
          <w:spacing w:val="-12"/>
        </w:rPr>
        <w:t> </w:t>
      </w:r>
      <w:r>
        <w:rPr/>
        <w:t>historical</w:t>
      </w:r>
      <w:r>
        <w:rPr>
          <w:spacing w:val="-14"/>
        </w:rPr>
        <w:t> </w:t>
      </w:r>
      <w:r>
        <w:rPr/>
        <w:t>average</w:t>
      </w:r>
      <w:r>
        <w:rPr>
          <w:spacing w:val="-14"/>
        </w:rPr>
        <w:t> </w:t>
      </w:r>
      <w:r>
        <w:rPr/>
        <w:t>vacancy</w:t>
      </w:r>
      <w:r>
        <w:rPr>
          <w:spacing w:val="-12"/>
        </w:rPr>
        <w:t> </w:t>
      </w:r>
      <w:r>
        <w:rPr/>
        <w:t>rates</w:t>
      </w:r>
      <w:r>
        <w:rPr>
          <w:spacing w:val="-12"/>
        </w:rPr>
        <w:t> </w:t>
      </w:r>
      <w:r>
        <w:rPr/>
        <w:t>for</w:t>
      </w:r>
      <w:r>
        <w:rPr>
          <w:spacing w:val="-12"/>
        </w:rPr>
        <w:t> </w:t>
      </w:r>
      <w:r>
        <w:rPr/>
        <w:t>bed-leased</w:t>
      </w:r>
      <w:r>
        <w:rPr>
          <w:spacing w:val="-14"/>
        </w:rPr>
        <w:t> </w:t>
      </w:r>
      <w:r>
        <w:rPr/>
        <w:t>apartments, typically ranging between</w:t>
      </w:r>
      <w:r>
        <w:rPr>
          <w:spacing w:val="-1"/>
        </w:rPr>
        <w:t> </w:t>
      </w:r>
      <w:r>
        <w:rPr/>
        <w:t>one</w:t>
      </w:r>
      <w:r>
        <w:rPr>
          <w:spacing w:val="-1"/>
        </w:rPr>
        <w:t> </w:t>
      </w:r>
      <w:r>
        <w:rPr/>
        <w:t>and four percent.</w:t>
      </w:r>
      <w:r>
        <w:rPr>
          <w:spacing w:val="80"/>
        </w:rPr>
        <w:t> </w:t>
      </w:r>
      <w:r>
        <w:rPr/>
        <w:t>The return to</w:t>
      </w:r>
      <w:r>
        <w:rPr>
          <w:spacing w:val="-2"/>
        </w:rPr>
        <w:t> </w:t>
      </w:r>
      <w:r>
        <w:rPr/>
        <w:t>historical average vacancy rates,</w:t>
      </w:r>
      <w:r>
        <w:rPr>
          <w:spacing w:val="-1"/>
        </w:rPr>
        <w:t> </w:t>
      </w:r>
      <w:r>
        <w:rPr/>
        <w:t>despite the increase in available bed leases, indicates that</w:t>
      </w:r>
      <w:r>
        <w:rPr>
          <w:spacing w:val="-2"/>
        </w:rPr>
        <w:t> </w:t>
      </w:r>
      <w:r>
        <w:rPr/>
        <w:t>demand is very strong and growing</w:t>
      </w:r>
      <w:r>
        <w:rPr>
          <w:spacing w:val="-4"/>
        </w:rPr>
        <w:t> </w:t>
      </w:r>
      <w:r>
        <w:rPr/>
        <w:t>within</w:t>
      </w:r>
      <w:r>
        <w:rPr>
          <w:spacing w:val="-4"/>
        </w:rPr>
        <w:t> </w:t>
      </w:r>
      <w:r>
        <w:rPr/>
        <w:t>the</w:t>
      </w:r>
      <w:r>
        <w:rPr>
          <w:spacing w:val="-6"/>
        </w:rPr>
        <w:t> </w:t>
      </w:r>
      <w:r>
        <w:rPr/>
        <w:t>Davis</w:t>
      </w:r>
      <w:r>
        <w:rPr>
          <w:spacing w:val="-6"/>
        </w:rPr>
        <w:t> </w:t>
      </w:r>
      <w:r>
        <w:rPr/>
        <w:t>multifamily</w:t>
      </w:r>
      <w:r>
        <w:rPr>
          <w:spacing w:val="-5"/>
        </w:rPr>
        <w:t> </w:t>
      </w:r>
      <w:r>
        <w:rPr/>
        <w:t>housing</w:t>
      </w:r>
      <w:r>
        <w:rPr>
          <w:spacing w:val="-4"/>
        </w:rPr>
        <w:t> </w:t>
      </w:r>
      <w:r>
        <w:rPr/>
        <w:t>market,</w:t>
      </w:r>
      <w:r>
        <w:rPr>
          <w:spacing w:val="-4"/>
        </w:rPr>
        <w:t> </w:t>
      </w:r>
      <w:r>
        <w:rPr/>
        <w:t>despite</w:t>
      </w:r>
      <w:r>
        <w:rPr>
          <w:spacing w:val="-6"/>
        </w:rPr>
        <w:t> </w:t>
      </w:r>
      <w:r>
        <w:rPr/>
        <w:t>the</w:t>
      </w:r>
      <w:r>
        <w:rPr>
          <w:spacing w:val="-6"/>
        </w:rPr>
        <w:t> </w:t>
      </w:r>
      <w:r>
        <w:rPr/>
        <w:t>ongoing</w:t>
      </w:r>
      <w:r>
        <w:rPr>
          <w:spacing w:val="-7"/>
        </w:rPr>
        <w:t> </w:t>
      </w:r>
      <w:r>
        <w:rPr/>
        <w:t>Coronavirus </w:t>
      </w:r>
      <w:r>
        <w:rPr>
          <w:spacing w:val="-2"/>
        </w:rPr>
        <w:t>pandemic.</w:t>
      </w:r>
    </w:p>
    <w:p>
      <w:pPr>
        <w:pStyle w:val="BodyText"/>
        <w:spacing w:before="55"/>
      </w:pPr>
    </w:p>
    <w:p>
      <w:pPr>
        <w:tabs>
          <w:tab w:pos="9791" w:val="left" w:leader="none"/>
        </w:tabs>
        <w:spacing w:before="0"/>
        <w:ind w:left="1008" w:right="0" w:firstLine="0"/>
        <w:jc w:val="left"/>
        <w:rPr>
          <w:i/>
          <w:sz w:val="22"/>
        </w:rPr>
      </w:pPr>
      <w:r>
        <w:rPr>
          <w:i/>
          <w:sz w:val="22"/>
          <w:u w:val="single"/>
        </w:rPr>
        <w:t>Table</w:t>
      </w:r>
      <w:r>
        <w:rPr>
          <w:i/>
          <w:spacing w:val="-5"/>
          <w:sz w:val="22"/>
          <w:u w:val="single"/>
        </w:rPr>
        <w:t> </w:t>
      </w:r>
      <w:r>
        <w:rPr>
          <w:i/>
          <w:sz w:val="22"/>
          <w:u w:val="single"/>
        </w:rPr>
        <w:t>2:</w:t>
      </w:r>
      <w:r>
        <w:rPr>
          <w:i/>
          <w:spacing w:val="47"/>
          <w:sz w:val="22"/>
          <w:u w:val="single"/>
        </w:rPr>
        <w:t> </w:t>
      </w:r>
      <w:r>
        <w:rPr>
          <w:i/>
          <w:sz w:val="22"/>
          <w:u w:val="single"/>
        </w:rPr>
        <w:t>Vacancy</w:t>
      </w:r>
      <w:r>
        <w:rPr>
          <w:i/>
          <w:spacing w:val="-4"/>
          <w:sz w:val="22"/>
          <w:u w:val="single"/>
        </w:rPr>
        <w:t> </w:t>
      </w:r>
      <w:r>
        <w:rPr>
          <w:i/>
          <w:sz w:val="22"/>
          <w:u w:val="single"/>
        </w:rPr>
        <w:t>Rate</w:t>
      </w:r>
      <w:r>
        <w:rPr>
          <w:i/>
          <w:spacing w:val="-5"/>
          <w:sz w:val="22"/>
          <w:u w:val="single"/>
        </w:rPr>
        <w:t> </w:t>
      </w:r>
      <w:r>
        <w:rPr>
          <w:i/>
          <w:sz w:val="22"/>
          <w:u w:val="single"/>
        </w:rPr>
        <w:t>for</w:t>
      </w:r>
      <w:r>
        <w:rPr>
          <w:i/>
          <w:spacing w:val="-7"/>
          <w:sz w:val="22"/>
          <w:u w:val="single"/>
        </w:rPr>
        <w:t> </w:t>
      </w:r>
      <w:r>
        <w:rPr>
          <w:i/>
          <w:sz w:val="22"/>
          <w:u w:val="single"/>
        </w:rPr>
        <w:t>Bed</w:t>
      </w:r>
      <w:r>
        <w:rPr>
          <w:i/>
          <w:spacing w:val="-6"/>
          <w:sz w:val="22"/>
          <w:u w:val="single"/>
        </w:rPr>
        <w:t> </w:t>
      </w:r>
      <w:r>
        <w:rPr>
          <w:i/>
          <w:sz w:val="22"/>
          <w:u w:val="single"/>
        </w:rPr>
        <w:t>Leases</w:t>
      </w:r>
      <w:r>
        <w:rPr>
          <w:i/>
          <w:spacing w:val="-4"/>
          <w:sz w:val="22"/>
          <w:u w:val="single"/>
        </w:rPr>
        <w:t> </w:t>
      </w:r>
      <w:r>
        <w:rPr>
          <w:i/>
          <w:sz w:val="22"/>
          <w:u w:val="single"/>
        </w:rPr>
        <w:t>by</w:t>
      </w:r>
      <w:r>
        <w:rPr>
          <w:i/>
          <w:spacing w:val="-4"/>
          <w:sz w:val="22"/>
          <w:u w:val="single"/>
        </w:rPr>
        <w:t> </w:t>
      </w:r>
      <w:r>
        <w:rPr>
          <w:i/>
          <w:sz w:val="22"/>
          <w:u w:val="single"/>
        </w:rPr>
        <w:t>Unit</w:t>
      </w:r>
      <w:r>
        <w:rPr>
          <w:i/>
          <w:spacing w:val="-5"/>
          <w:sz w:val="22"/>
          <w:u w:val="single"/>
        </w:rPr>
        <w:t> </w:t>
      </w:r>
      <w:r>
        <w:rPr>
          <w:i/>
          <w:spacing w:val="-4"/>
          <w:sz w:val="22"/>
          <w:u w:val="single"/>
        </w:rPr>
        <w:t>Size</w:t>
      </w:r>
      <w:r>
        <w:rPr>
          <w:i/>
          <w:sz w:val="22"/>
          <w:u w:val="single"/>
        </w:rPr>
        <w:tab/>
      </w:r>
    </w:p>
    <w:p>
      <w:pPr>
        <w:pStyle w:val="BodyText"/>
        <w:spacing w:before="75"/>
        <w:rPr>
          <w:i/>
          <w:sz w:val="15"/>
        </w:rPr>
      </w:pPr>
    </w:p>
    <w:p>
      <w:pPr>
        <w:spacing w:before="0" w:after="19"/>
        <w:ind w:left="1433" w:right="1748" w:firstLine="0"/>
        <w:jc w:val="center"/>
        <w:rPr>
          <w:rFonts w:ascii="Arial"/>
          <w:b/>
          <w:sz w:val="15"/>
        </w:rPr>
      </w:pPr>
      <w:r>
        <w:rPr>
          <w:rFonts w:ascii="Arial"/>
          <w:b/>
          <w:w w:val="105"/>
          <w:sz w:val="15"/>
        </w:rPr>
        <w:t>2021</w:t>
      </w:r>
      <w:r>
        <w:rPr>
          <w:rFonts w:ascii="Arial"/>
          <w:b/>
          <w:spacing w:val="-1"/>
          <w:w w:val="105"/>
          <w:sz w:val="15"/>
        </w:rPr>
        <w:t> </w:t>
      </w:r>
      <w:r>
        <w:rPr>
          <w:rFonts w:ascii="Arial"/>
          <w:b/>
          <w:w w:val="105"/>
          <w:sz w:val="15"/>
        </w:rPr>
        <w:t>Survey </w:t>
      </w:r>
      <w:r>
        <w:rPr>
          <w:rFonts w:ascii="Arial"/>
          <w:b/>
          <w:spacing w:val="-2"/>
          <w:w w:val="105"/>
          <w:sz w:val="15"/>
        </w:rPr>
        <w:t>Results</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52"/>
        <w:gridCol w:w="158"/>
        <w:gridCol w:w="619"/>
        <w:gridCol w:w="158"/>
        <w:gridCol w:w="604"/>
        <w:gridCol w:w="159"/>
        <w:gridCol w:w="604"/>
        <w:gridCol w:w="158"/>
        <w:gridCol w:w="575"/>
        <w:gridCol w:w="158"/>
        <w:gridCol w:w="589"/>
        <w:gridCol w:w="157"/>
        <w:gridCol w:w="675"/>
        <w:gridCol w:w="157"/>
        <w:gridCol w:w="646"/>
        <w:gridCol w:w="157"/>
        <w:gridCol w:w="746"/>
        <w:gridCol w:w="157"/>
        <w:gridCol w:w="674"/>
      </w:tblGrid>
      <w:tr>
        <w:trPr>
          <w:trHeight w:val="200" w:hRule="atLeast"/>
        </w:trPr>
        <w:tc>
          <w:tcPr>
            <w:tcW w:w="2991" w:type="dxa"/>
            <w:gridSpan w:val="5"/>
            <w:tcBorders>
              <w:top w:val="single" w:sz="6" w:space="0" w:color="000000"/>
            </w:tcBorders>
          </w:tcPr>
          <w:p>
            <w:pPr>
              <w:pStyle w:val="TableParagraph"/>
              <w:spacing w:line="163" w:lineRule="exact" w:before="17"/>
              <w:ind w:left="1883"/>
              <w:rPr>
                <w:sz w:val="15"/>
              </w:rPr>
            </w:pPr>
            <w:r>
              <w:rPr>
                <w:spacing w:val="-2"/>
                <w:w w:val="105"/>
                <w:sz w:val="15"/>
              </w:rPr>
              <w:t>Bed</w:t>
            </w:r>
            <w:r>
              <w:rPr>
                <w:spacing w:val="-7"/>
                <w:w w:val="105"/>
                <w:sz w:val="15"/>
              </w:rPr>
              <w:t> </w:t>
            </w:r>
            <w:r>
              <w:rPr>
                <w:spacing w:val="-2"/>
                <w:w w:val="105"/>
                <w:sz w:val="15"/>
              </w:rPr>
              <w:t>Leased</w:t>
            </w:r>
          </w:p>
        </w:tc>
        <w:tc>
          <w:tcPr>
            <w:tcW w:w="1496" w:type="dxa"/>
            <w:gridSpan w:val="4"/>
            <w:tcBorders>
              <w:top w:val="single" w:sz="6" w:space="0" w:color="000000"/>
            </w:tcBorders>
          </w:tcPr>
          <w:p>
            <w:pPr>
              <w:pStyle w:val="TableParagraph"/>
              <w:spacing w:line="163" w:lineRule="exact" w:before="17"/>
              <w:ind w:left="473"/>
              <w:rPr>
                <w:sz w:val="15"/>
              </w:rPr>
            </w:pPr>
            <w:r>
              <w:rPr>
                <w:spacing w:val="-6"/>
                <w:w w:val="105"/>
                <w:sz w:val="15"/>
              </w:rPr>
              <w:t>Number</w:t>
            </w:r>
            <w:r>
              <w:rPr>
                <w:spacing w:val="-1"/>
                <w:sz w:val="15"/>
              </w:rPr>
              <w:t> </w:t>
            </w:r>
            <w:r>
              <w:rPr>
                <w:spacing w:val="-5"/>
                <w:w w:val="105"/>
                <w:sz w:val="15"/>
              </w:rPr>
              <w:t>of</w:t>
            </w:r>
          </w:p>
        </w:tc>
        <w:tc>
          <w:tcPr>
            <w:tcW w:w="1579" w:type="dxa"/>
            <w:gridSpan w:val="4"/>
            <w:tcBorders>
              <w:top w:val="single" w:sz="6" w:space="0" w:color="000000"/>
            </w:tcBorders>
          </w:tcPr>
          <w:p>
            <w:pPr>
              <w:pStyle w:val="TableParagraph"/>
              <w:spacing w:line="163" w:lineRule="exact" w:before="17"/>
              <w:ind w:left="242"/>
              <w:rPr>
                <w:sz w:val="15"/>
              </w:rPr>
            </w:pPr>
            <w:r>
              <w:rPr>
                <w:spacing w:val="-2"/>
                <w:w w:val="105"/>
                <w:sz w:val="15"/>
              </w:rPr>
              <w:t>Number</w:t>
            </w:r>
            <w:r>
              <w:rPr>
                <w:spacing w:val="-9"/>
                <w:w w:val="105"/>
                <w:sz w:val="15"/>
              </w:rPr>
              <w:t> </w:t>
            </w:r>
            <w:r>
              <w:rPr>
                <w:spacing w:val="-2"/>
                <w:w w:val="105"/>
                <w:sz w:val="15"/>
              </w:rPr>
              <w:t>of</w:t>
            </w:r>
            <w:r>
              <w:rPr>
                <w:spacing w:val="-6"/>
                <w:w w:val="105"/>
                <w:sz w:val="15"/>
              </w:rPr>
              <w:t> </w:t>
            </w:r>
            <w:r>
              <w:rPr>
                <w:spacing w:val="-2"/>
                <w:w w:val="105"/>
                <w:sz w:val="15"/>
              </w:rPr>
              <w:t>Vacant</w:t>
            </w:r>
          </w:p>
        </w:tc>
        <w:tc>
          <w:tcPr>
            <w:tcW w:w="803" w:type="dxa"/>
            <w:gridSpan w:val="2"/>
            <w:tcBorders>
              <w:top w:val="single" w:sz="6" w:space="0" w:color="000000"/>
            </w:tcBorders>
          </w:tcPr>
          <w:p>
            <w:pPr>
              <w:pStyle w:val="TableParagraph"/>
              <w:rPr>
                <w:rFonts w:ascii="Times New Roman"/>
                <w:sz w:val="12"/>
              </w:rPr>
            </w:pPr>
          </w:p>
        </w:tc>
        <w:tc>
          <w:tcPr>
            <w:tcW w:w="157" w:type="dxa"/>
          </w:tcPr>
          <w:p>
            <w:pPr>
              <w:pStyle w:val="TableParagraph"/>
              <w:rPr>
                <w:rFonts w:ascii="Times New Roman"/>
                <w:sz w:val="12"/>
              </w:rPr>
            </w:pPr>
          </w:p>
        </w:tc>
        <w:tc>
          <w:tcPr>
            <w:tcW w:w="746" w:type="dxa"/>
            <w:tcBorders>
              <w:bottom w:val="single" w:sz="6" w:space="0" w:color="000000"/>
            </w:tcBorders>
          </w:tcPr>
          <w:p>
            <w:pPr>
              <w:pStyle w:val="TableParagraph"/>
              <w:spacing w:line="163" w:lineRule="exact" w:before="17"/>
              <w:ind w:left="205"/>
              <w:rPr>
                <w:rFonts w:ascii="Arial"/>
                <w:b/>
                <w:sz w:val="15"/>
              </w:rPr>
            </w:pPr>
            <w:r>
              <w:rPr>
                <w:rFonts w:ascii="Arial"/>
                <w:b/>
                <w:spacing w:val="-4"/>
                <w:w w:val="105"/>
                <w:sz w:val="15"/>
              </w:rPr>
              <w:t>2020</w:t>
            </w:r>
          </w:p>
        </w:tc>
        <w:tc>
          <w:tcPr>
            <w:tcW w:w="157" w:type="dxa"/>
          </w:tcPr>
          <w:p>
            <w:pPr>
              <w:pStyle w:val="TableParagraph"/>
              <w:rPr>
                <w:rFonts w:ascii="Times New Roman"/>
                <w:sz w:val="12"/>
              </w:rPr>
            </w:pPr>
          </w:p>
        </w:tc>
        <w:tc>
          <w:tcPr>
            <w:tcW w:w="674" w:type="dxa"/>
            <w:tcBorders>
              <w:bottom w:val="single" w:sz="6" w:space="0" w:color="000000"/>
            </w:tcBorders>
          </w:tcPr>
          <w:p>
            <w:pPr>
              <w:pStyle w:val="TableParagraph"/>
              <w:spacing w:line="163" w:lineRule="exact" w:before="17"/>
              <w:ind w:left="179"/>
              <w:rPr>
                <w:rFonts w:ascii="Arial"/>
                <w:b/>
                <w:sz w:val="15"/>
              </w:rPr>
            </w:pPr>
            <w:r>
              <w:rPr>
                <w:rFonts w:ascii="Arial"/>
                <w:b/>
                <w:spacing w:val="-4"/>
                <w:w w:val="105"/>
                <w:sz w:val="15"/>
              </w:rPr>
              <w:t>2019</w:t>
            </w:r>
          </w:p>
        </w:tc>
      </w:tr>
      <w:tr>
        <w:trPr>
          <w:trHeight w:val="207" w:hRule="atLeast"/>
        </w:trPr>
        <w:tc>
          <w:tcPr>
            <w:tcW w:w="2991" w:type="dxa"/>
            <w:gridSpan w:val="5"/>
          </w:tcPr>
          <w:p>
            <w:pPr>
              <w:pStyle w:val="TableParagraph"/>
              <w:spacing w:line="171" w:lineRule="exact" w:before="17"/>
              <w:ind w:left="1667"/>
              <w:rPr>
                <w:sz w:val="15"/>
              </w:rPr>
            </w:pPr>
            <w:r>
              <w:rPr>
                <w:spacing w:val="-4"/>
                <w:w w:val="105"/>
                <w:sz w:val="15"/>
              </w:rPr>
              <w:t>Units</w:t>
            </w:r>
            <w:r>
              <w:rPr>
                <w:spacing w:val="4"/>
                <w:w w:val="105"/>
                <w:sz w:val="15"/>
              </w:rPr>
              <w:t> </w:t>
            </w:r>
            <w:r>
              <w:rPr>
                <w:spacing w:val="-4"/>
                <w:w w:val="105"/>
                <w:sz w:val="15"/>
              </w:rPr>
              <w:t>Reported</w:t>
            </w:r>
            <w:r>
              <w:rPr>
                <w:spacing w:val="-1"/>
                <w:sz w:val="15"/>
              </w:rPr>
              <w:t> </w:t>
            </w:r>
            <w:r>
              <w:rPr>
                <w:spacing w:val="-5"/>
                <w:w w:val="105"/>
                <w:sz w:val="15"/>
              </w:rPr>
              <w:t>(a)</w:t>
            </w:r>
          </w:p>
        </w:tc>
        <w:tc>
          <w:tcPr>
            <w:tcW w:w="1496" w:type="dxa"/>
            <w:gridSpan w:val="4"/>
          </w:tcPr>
          <w:p>
            <w:pPr>
              <w:pStyle w:val="TableParagraph"/>
              <w:spacing w:line="171" w:lineRule="exact" w:before="17"/>
              <w:ind w:left="186"/>
              <w:rPr>
                <w:sz w:val="15"/>
              </w:rPr>
            </w:pPr>
            <w:r>
              <w:rPr>
                <w:spacing w:val="-2"/>
                <w:w w:val="105"/>
                <w:sz w:val="15"/>
              </w:rPr>
              <w:t>Beds</w:t>
            </w:r>
            <w:r>
              <w:rPr>
                <w:spacing w:val="-3"/>
                <w:w w:val="105"/>
                <w:sz w:val="15"/>
              </w:rPr>
              <w:t> </w:t>
            </w:r>
            <w:r>
              <w:rPr>
                <w:spacing w:val="-2"/>
                <w:w w:val="105"/>
                <w:sz w:val="15"/>
              </w:rPr>
              <w:t>Reported</w:t>
            </w:r>
            <w:r>
              <w:rPr>
                <w:spacing w:val="-9"/>
                <w:w w:val="105"/>
                <w:sz w:val="15"/>
              </w:rPr>
              <w:t> </w:t>
            </w:r>
            <w:r>
              <w:rPr>
                <w:spacing w:val="-5"/>
                <w:w w:val="105"/>
                <w:sz w:val="15"/>
              </w:rPr>
              <w:t>(b)</w:t>
            </w:r>
          </w:p>
        </w:tc>
        <w:tc>
          <w:tcPr>
            <w:tcW w:w="1579" w:type="dxa"/>
            <w:gridSpan w:val="4"/>
          </w:tcPr>
          <w:p>
            <w:pPr>
              <w:pStyle w:val="TableParagraph"/>
              <w:spacing w:line="171" w:lineRule="exact" w:before="17"/>
              <w:ind w:left="228"/>
              <w:rPr>
                <w:sz w:val="15"/>
              </w:rPr>
            </w:pPr>
            <w:r>
              <w:rPr>
                <w:spacing w:val="-2"/>
                <w:w w:val="105"/>
                <w:sz w:val="15"/>
              </w:rPr>
              <w:t>Beds</w:t>
            </w:r>
            <w:r>
              <w:rPr>
                <w:spacing w:val="-3"/>
                <w:w w:val="105"/>
                <w:sz w:val="15"/>
              </w:rPr>
              <w:t> </w:t>
            </w:r>
            <w:r>
              <w:rPr>
                <w:spacing w:val="-2"/>
                <w:w w:val="105"/>
                <w:sz w:val="15"/>
              </w:rPr>
              <w:t>Reported</w:t>
            </w:r>
            <w:r>
              <w:rPr>
                <w:spacing w:val="-9"/>
                <w:w w:val="105"/>
                <w:sz w:val="15"/>
              </w:rPr>
              <w:t> </w:t>
            </w:r>
            <w:r>
              <w:rPr>
                <w:spacing w:val="-5"/>
                <w:w w:val="105"/>
                <w:sz w:val="15"/>
              </w:rPr>
              <w:t>(c)</w:t>
            </w:r>
          </w:p>
        </w:tc>
        <w:tc>
          <w:tcPr>
            <w:tcW w:w="803" w:type="dxa"/>
            <w:gridSpan w:val="2"/>
          </w:tcPr>
          <w:p>
            <w:pPr>
              <w:pStyle w:val="TableParagraph"/>
              <w:spacing w:line="171" w:lineRule="exact" w:before="17"/>
              <w:ind w:left="173"/>
              <w:rPr>
                <w:sz w:val="15"/>
              </w:rPr>
            </w:pPr>
            <w:r>
              <w:rPr>
                <w:spacing w:val="-2"/>
                <w:w w:val="105"/>
                <w:sz w:val="15"/>
              </w:rPr>
              <w:t>Vacancy</w:t>
            </w:r>
          </w:p>
        </w:tc>
        <w:tc>
          <w:tcPr>
            <w:tcW w:w="157" w:type="dxa"/>
          </w:tcPr>
          <w:p>
            <w:pPr>
              <w:pStyle w:val="TableParagraph"/>
              <w:rPr>
                <w:rFonts w:ascii="Times New Roman"/>
                <w:sz w:val="14"/>
              </w:rPr>
            </w:pPr>
          </w:p>
        </w:tc>
        <w:tc>
          <w:tcPr>
            <w:tcW w:w="746" w:type="dxa"/>
            <w:tcBorders>
              <w:top w:val="single" w:sz="6" w:space="0" w:color="000000"/>
            </w:tcBorders>
          </w:tcPr>
          <w:p>
            <w:pPr>
              <w:pStyle w:val="TableParagraph"/>
              <w:spacing w:line="171" w:lineRule="exact" w:before="17"/>
              <w:ind w:right="58"/>
              <w:jc w:val="right"/>
              <w:rPr>
                <w:sz w:val="15"/>
              </w:rPr>
            </w:pPr>
            <w:r>
              <w:rPr>
                <w:spacing w:val="-2"/>
                <w:w w:val="105"/>
                <w:sz w:val="15"/>
              </w:rPr>
              <w:t>Vacancy</w:t>
            </w:r>
          </w:p>
        </w:tc>
        <w:tc>
          <w:tcPr>
            <w:tcW w:w="157" w:type="dxa"/>
          </w:tcPr>
          <w:p>
            <w:pPr>
              <w:pStyle w:val="TableParagraph"/>
              <w:rPr>
                <w:rFonts w:ascii="Times New Roman"/>
                <w:sz w:val="14"/>
              </w:rPr>
            </w:pPr>
          </w:p>
        </w:tc>
        <w:tc>
          <w:tcPr>
            <w:tcW w:w="674" w:type="dxa"/>
            <w:tcBorders>
              <w:top w:val="single" w:sz="6" w:space="0" w:color="000000"/>
            </w:tcBorders>
          </w:tcPr>
          <w:p>
            <w:pPr>
              <w:pStyle w:val="TableParagraph"/>
              <w:spacing w:line="171" w:lineRule="exact" w:before="17"/>
              <w:ind w:right="12"/>
              <w:jc w:val="right"/>
              <w:rPr>
                <w:sz w:val="15"/>
              </w:rPr>
            </w:pPr>
            <w:r>
              <w:rPr>
                <w:spacing w:val="-2"/>
                <w:w w:val="105"/>
                <w:sz w:val="15"/>
              </w:rPr>
              <w:t>Vacancy</w:t>
            </w:r>
          </w:p>
        </w:tc>
      </w:tr>
      <w:tr>
        <w:trPr>
          <w:trHeight w:val="193" w:hRule="atLeast"/>
        </w:trPr>
        <w:tc>
          <w:tcPr>
            <w:tcW w:w="1452" w:type="dxa"/>
            <w:tcBorders>
              <w:bottom w:val="single" w:sz="6" w:space="0" w:color="000000"/>
            </w:tcBorders>
          </w:tcPr>
          <w:p>
            <w:pPr>
              <w:pStyle w:val="TableParagraph"/>
              <w:spacing w:line="164" w:lineRule="exact" w:before="17"/>
              <w:ind w:left="43"/>
              <w:rPr>
                <w:rFonts w:ascii="Arial"/>
                <w:b/>
                <w:sz w:val="15"/>
              </w:rPr>
            </w:pPr>
            <w:r>
              <w:rPr>
                <w:rFonts w:ascii="Arial"/>
                <w:b/>
                <w:spacing w:val="-2"/>
                <w:w w:val="105"/>
                <w:sz w:val="15"/>
              </w:rPr>
              <w:t>Unit</w:t>
            </w:r>
            <w:r>
              <w:rPr>
                <w:rFonts w:ascii="Arial"/>
                <w:b/>
                <w:spacing w:val="-4"/>
                <w:w w:val="105"/>
                <w:sz w:val="15"/>
              </w:rPr>
              <w:t> Size</w:t>
            </w:r>
          </w:p>
        </w:tc>
        <w:tc>
          <w:tcPr>
            <w:tcW w:w="158" w:type="dxa"/>
          </w:tcPr>
          <w:p>
            <w:pPr>
              <w:pStyle w:val="TableParagraph"/>
              <w:rPr>
                <w:rFonts w:ascii="Times New Roman"/>
                <w:sz w:val="12"/>
              </w:rPr>
            </w:pPr>
          </w:p>
        </w:tc>
        <w:tc>
          <w:tcPr>
            <w:tcW w:w="619" w:type="dxa"/>
            <w:tcBorders>
              <w:top w:val="single" w:sz="6" w:space="0" w:color="000000"/>
              <w:bottom w:val="single" w:sz="6" w:space="0" w:color="000000"/>
            </w:tcBorders>
          </w:tcPr>
          <w:p>
            <w:pPr>
              <w:pStyle w:val="TableParagraph"/>
              <w:spacing w:line="164" w:lineRule="exact" w:before="17"/>
              <w:ind w:right="47"/>
              <w:jc w:val="right"/>
              <w:rPr>
                <w:sz w:val="15"/>
              </w:rPr>
            </w:pPr>
            <w:r>
              <w:rPr>
                <w:spacing w:val="-2"/>
                <w:w w:val="105"/>
                <w:sz w:val="15"/>
              </w:rPr>
              <w:t>Number</w:t>
            </w:r>
          </w:p>
        </w:tc>
        <w:tc>
          <w:tcPr>
            <w:tcW w:w="158" w:type="dxa"/>
            <w:tcBorders>
              <w:top w:val="single" w:sz="6" w:space="0" w:color="000000"/>
            </w:tcBorders>
          </w:tcPr>
          <w:p>
            <w:pPr>
              <w:pStyle w:val="TableParagraph"/>
              <w:rPr>
                <w:rFonts w:ascii="Times New Roman"/>
                <w:sz w:val="12"/>
              </w:rPr>
            </w:pPr>
          </w:p>
        </w:tc>
        <w:tc>
          <w:tcPr>
            <w:tcW w:w="604" w:type="dxa"/>
            <w:tcBorders>
              <w:top w:val="single" w:sz="6" w:space="0" w:color="000000"/>
              <w:bottom w:val="single" w:sz="6" w:space="0" w:color="000000"/>
            </w:tcBorders>
          </w:tcPr>
          <w:p>
            <w:pPr>
              <w:pStyle w:val="TableParagraph"/>
              <w:spacing w:line="164" w:lineRule="exact" w:before="17"/>
              <w:ind w:right="27"/>
              <w:jc w:val="right"/>
              <w:rPr>
                <w:sz w:val="15"/>
              </w:rPr>
            </w:pPr>
            <w:r>
              <w:rPr>
                <w:spacing w:val="-2"/>
                <w:w w:val="105"/>
                <w:sz w:val="15"/>
              </w:rPr>
              <w:t>Percent</w:t>
            </w:r>
          </w:p>
        </w:tc>
        <w:tc>
          <w:tcPr>
            <w:tcW w:w="159" w:type="dxa"/>
          </w:tcPr>
          <w:p>
            <w:pPr>
              <w:pStyle w:val="TableParagraph"/>
              <w:rPr>
                <w:rFonts w:ascii="Times New Roman"/>
                <w:sz w:val="12"/>
              </w:rPr>
            </w:pPr>
          </w:p>
        </w:tc>
        <w:tc>
          <w:tcPr>
            <w:tcW w:w="604" w:type="dxa"/>
            <w:tcBorders>
              <w:top w:val="single" w:sz="6" w:space="0" w:color="000000"/>
              <w:bottom w:val="single" w:sz="6" w:space="0" w:color="000000"/>
            </w:tcBorders>
          </w:tcPr>
          <w:p>
            <w:pPr>
              <w:pStyle w:val="TableParagraph"/>
              <w:spacing w:line="164" w:lineRule="exact" w:before="17"/>
              <w:ind w:right="35"/>
              <w:jc w:val="right"/>
              <w:rPr>
                <w:sz w:val="15"/>
              </w:rPr>
            </w:pPr>
            <w:r>
              <w:rPr>
                <w:spacing w:val="-2"/>
                <w:w w:val="105"/>
                <w:sz w:val="15"/>
              </w:rPr>
              <w:t>Number</w:t>
            </w:r>
          </w:p>
        </w:tc>
        <w:tc>
          <w:tcPr>
            <w:tcW w:w="158" w:type="dxa"/>
            <w:tcBorders>
              <w:top w:val="single" w:sz="6" w:space="0" w:color="000000"/>
            </w:tcBorders>
          </w:tcPr>
          <w:p>
            <w:pPr>
              <w:pStyle w:val="TableParagraph"/>
              <w:rPr>
                <w:rFonts w:ascii="Times New Roman"/>
                <w:sz w:val="12"/>
              </w:rPr>
            </w:pPr>
          </w:p>
        </w:tc>
        <w:tc>
          <w:tcPr>
            <w:tcW w:w="575" w:type="dxa"/>
            <w:tcBorders>
              <w:top w:val="single" w:sz="6" w:space="0" w:color="000000"/>
              <w:bottom w:val="single" w:sz="6" w:space="0" w:color="000000"/>
            </w:tcBorders>
          </w:tcPr>
          <w:p>
            <w:pPr>
              <w:pStyle w:val="TableParagraph"/>
              <w:spacing w:line="164" w:lineRule="exact" w:before="17"/>
              <w:ind w:right="14"/>
              <w:jc w:val="right"/>
              <w:rPr>
                <w:sz w:val="15"/>
              </w:rPr>
            </w:pPr>
            <w:r>
              <w:rPr>
                <w:spacing w:val="-2"/>
                <w:w w:val="105"/>
                <w:sz w:val="15"/>
              </w:rPr>
              <w:t>Percent</w:t>
            </w:r>
          </w:p>
        </w:tc>
        <w:tc>
          <w:tcPr>
            <w:tcW w:w="158" w:type="dxa"/>
          </w:tcPr>
          <w:p>
            <w:pPr>
              <w:pStyle w:val="TableParagraph"/>
              <w:rPr>
                <w:rFonts w:ascii="Times New Roman"/>
                <w:sz w:val="12"/>
              </w:rPr>
            </w:pPr>
          </w:p>
        </w:tc>
        <w:tc>
          <w:tcPr>
            <w:tcW w:w="589" w:type="dxa"/>
            <w:tcBorders>
              <w:top w:val="single" w:sz="6" w:space="0" w:color="000000"/>
              <w:bottom w:val="single" w:sz="6" w:space="0" w:color="000000"/>
            </w:tcBorders>
          </w:tcPr>
          <w:p>
            <w:pPr>
              <w:pStyle w:val="TableParagraph"/>
              <w:spacing w:line="164" w:lineRule="exact" w:before="17"/>
              <w:ind w:right="33"/>
              <w:jc w:val="right"/>
              <w:rPr>
                <w:sz w:val="15"/>
              </w:rPr>
            </w:pPr>
            <w:r>
              <w:rPr>
                <w:spacing w:val="-4"/>
                <w:w w:val="105"/>
                <w:sz w:val="15"/>
              </w:rPr>
              <w:t>Number</w:t>
            </w:r>
          </w:p>
        </w:tc>
        <w:tc>
          <w:tcPr>
            <w:tcW w:w="157" w:type="dxa"/>
            <w:tcBorders>
              <w:top w:val="single" w:sz="6" w:space="0" w:color="000000"/>
            </w:tcBorders>
          </w:tcPr>
          <w:p>
            <w:pPr>
              <w:pStyle w:val="TableParagraph"/>
              <w:rPr>
                <w:rFonts w:ascii="Times New Roman"/>
                <w:sz w:val="12"/>
              </w:rPr>
            </w:pPr>
          </w:p>
        </w:tc>
        <w:tc>
          <w:tcPr>
            <w:tcW w:w="675" w:type="dxa"/>
            <w:tcBorders>
              <w:top w:val="single" w:sz="6" w:space="0" w:color="000000"/>
              <w:bottom w:val="single" w:sz="6" w:space="0" w:color="000000"/>
            </w:tcBorders>
          </w:tcPr>
          <w:p>
            <w:pPr>
              <w:pStyle w:val="TableParagraph"/>
              <w:spacing w:line="164" w:lineRule="exact" w:before="17"/>
              <w:ind w:right="69"/>
              <w:jc w:val="right"/>
              <w:rPr>
                <w:sz w:val="15"/>
              </w:rPr>
            </w:pPr>
            <w:r>
              <w:rPr>
                <w:spacing w:val="-2"/>
                <w:w w:val="105"/>
                <w:sz w:val="15"/>
              </w:rPr>
              <w:t>Percent</w:t>
            </w:r>
          </w:p>
        </w:tc>
        <w:tc>
          <w:tcPr>
            <w:tcW w:w="157" w:type="dxa"/>
          </w:tcPr>
          <w:p>
            <w:pPr>
              <w:pStyle w:val="TableParagraph"/>
              <w:rPr>
                <w:rFonts w:ascii="Times New Roman"/>
                <w:sz w:val="12"/>
              </w:rPr>
            </w:pPr>
          </w:p>
        </w:tc>
        <w:tc>
          <w:tcPr>
            <w:tcW w:w="646" w:type="dxa"/>
            <w:tcBorders>
              <w:bottom w:val="single" w:sz="6" w:space="0" w:color="000000"/>
            </w:tcBorders>
          </w:tcPr>
          <w:p>
            <w:pPr>
              <w:pStyle w:val="TableParagraph"/>
              <w:spacing w:line="164" w:lineRule="exact" w:before="17"/>
              <w:ind w:right="44"/>
              <w:jc w:val="right"/>
              <w:rPr>
                <w:sz w:val="15"/>
              </w:rPr>
            </w:pPr>
            <w:r>
              <w:rPr>
                <w:spacing w:val="-5"/>
                <w:w w:val="105"/>
                <w:sz w:val="15"/>
              </w:rPr>
              <w:t>Rate</w:t>
            </w:r>
            <w:r>
              <w:rPr>
                <w:spacing w:val="-1"/>
                <w:sz w:val="15"/>
              </w:rPr>
              <w:t> </w:t>
            </w:r>
            <w:r>
              <w:rPr>
                <w:spacing w:val="-5"/>
                <w:w w:val="105"/>
                <w:sz w:val="15"/>
              </w:rPr>
              <w:t>(d)</w:t>
            </w:r>
          </w:p>
        </w:tc>
        <w:tc>
          <w:tcPr>
            <w:tcW w:w="157" w:type="dxa"/>
          </w:tcPr>
          <w:p>
            <w:pPr>
              <w:pStyle w:val="TableParagraph"/>
              <w:rPr>
                <w:rFonts w:ascii="Times New Roman"/>
                <w:sz w:val="12"/>
              </w:rPr>
            </w:pPr>
          </w:p>
        </w:tc>
        <w:tc>
          <w:tcPr>
            <w:tcW w:w="746" w:type="dxa"/>
            <w:tcBorders>
              <w:bottom w:val="single" w:sz="6" w:space="0" w:color="000000"/>
            </w:tcBorders>
          </w:tcPr>
          <w:p>
            <w:pPr>
              <w:pStyle w:val="TableParagraph"/>
              <w:spacing w:line="164" w:lineRule="exact" w:before="17"/>
              <w:ind w:right="84"/>
              <w:jc w:val="right"/>
              <w:rPr>
                <w:sz w:val="15"/>
              </w:rPr>
            </w:pPr>
            <w:r>
              <w:rPr>
                <w:spacing w:val="-5"/>
                <w:w w:val="105"/>
                <w:sz w:val="15"/>
              </w:rPr>
              <w:t>Rate</w:t>
            </w:r>
            <w:r>
              <w:rPr>
                <w:spacing w:val="-1"/>
                <w:sz w:val="15"/>
              </w:rPr>
              <w:t> </w:t>
            </w:r>
            <w:r>
              <w:rPr>
                <w:spacing w:val="-5"/>
                <w:w w:val="105"/>
                <w:sz w:val="15"/>
              </w:rPr>
              <w:t>(d)</w:t>
            </w:r>
          </w:p>
        </w:tc>
        <w:tc>
          <w:tcPr>
            <w:tcW w:w="157" w:type="dxa"/>
          </w:tcPr>
          <w:p>
            <w:pPr>
              <w:pStyle w:val="TableParagraph"/>
              <w:rPr>
                <w:rFonts w:ascii="Times New Roman"/>
                <w:sz w:val="12"/>
              </w:rPr>
            </w:pPr>
          </w:p>
        </w:tc>
        <w:tc>
          <w:tcPr>
            <w:tcW w:w="674" w:type="dxa"/>
            <w:tcBorders>
              <w:bottom w:val="single" w:sz="6" w:space="0" w:color="000000"/>
            </w:tcBorders>
          </w:tcPr>
          <w:p>
            <w:pPr>
              <w:pStyle w:val="TableParagraph"/>
              <w:spacing w:line="164" w:lineRule="exact" w:before="17"/>
              <w:ind w:right="53"/>
              <w:jc w:val="right"/>
              <w:rPr>
                <w:sz w:val="15"/>
              </w:rPr>
            </w:pPr>
            <w:r>
              <w:rPr>
                <w:spacing w:val="-5"/>
                <w:w w:val="105"/>
                <w:sz w:val="15"/>
              </w:rPr>
              <w:t>Rate</w:t>
            </w:r>
            <w:r>
              <w:rPr>
                <w:spacing w:val="-1"/>
                <w:sz w:val="15"/>
              </w:rPr>
              <w:t> </w:t>
            </w:r>
            <w:r>
              <w:rPr>
                <w:spacing w:val="-5"/>
                <w:w w:val="105"/>
                <w:sz w:val="15"/>
              </w:rPr>
              <w:t>(d)</w:t>
            </w:r>
          </w:p>
        </w:tc>
      </w:tr>
      <w:tr>
        <w:trPr>
          <w:trHeight w:val="210" w:hRule="atLeast"/>
        </w:trPr>
        <w:tc>
          <w:tcPr>
            <w:tcW w:w="1452" w:type="dxa"/>
            <w:tcBorders>
              <w:top w:val="single" w:sz="6" w:space="0" w:color="000000"/>
            </w:tcBorders>
          </w:tcPr>
          <w:p>
            <w:pPr>
              <w:pStyle w:val="TableParagraph"/>
              <w:spacing w:before="17"/>
              <w:ind w:left="43"/>
              <w:rPr>
                <w:sz w:val="15"/>
              </w:rPr>
            </w:pPr>
            <w:r>
              <w:rPr>
                <w:spacing w:val="-2"/>
                <w:w w:val="105"/>
                <w:sz w:val="15"/>
              </w:rPr>
              <w:t>Studio</w:t>
            </w:r>
            <w:r>
              <w:rPr>
                <w:spacing w:val="-5"/>
                <w:w w:val="105"/>
                <w:sz w:val="15"/>
              </w:rPr>
              <w:t> </w:t>
            </w:r>
            <w:r>
              <w:rPr>
                <w:spacing w:val="-2"/>
                <w:w w:val="105"/>
                <w:sz w:val="15"/>
              </w:rPr>
              <w:t>&amp;</w:t>
            </w:r>
            <w:r>
              <w:rPr>
                <w:spacing w:val="-9"/>
                <w:w w:val="105"/>
                <w:sz w:val="15"/>
              </w:rPr>
              <w:t> </w:t>
            </w:r>
            <w:r>
              <w:rPr>
                <w:spacing w:val="-2"/>
                <w:w w:val="105"/>
                <w:sz w:val="15"/>
              </w:rPr>
              <w:t>1</w:t>
            </w:r>
            <w:r>
              <w:rPr>
                <w:spacing w:val="-5"/>
                <w:w w:val="105"/>
                <w:sz w:val="15"/>
              </w:rPr>
              <w:t> </w:t>
            </w:r>
            <w:r>
              <w:rPr>
                <w:spacing w:val="-2"/>
                <w:w w:val="105"/>
                <w:sz w:val="15"/>
              </w:rPr>
              <w:t>Bedroom</w:t>
            </w:r>
          </w:p>
        </w:tc>
        <w:tc>
          <w:tcPr>
            <w:tcW w:w="158" w:type="dxa"/>
          </w:tcPr>
          <w:p>
            <w:pPr>
              <w:pStyle w:val="TableParagraph"/>
              <w:rPr>
                <w:rFonts w:ascii="Times New Roman"/>
                <w:sz w:val="14"/>
              </w:rPr>
            </w:pPr>
          </w:p>
        </w:tc>
        <w:tc>
          <w:tcPr>
            <w:tcW w:w="619" w:type="dxa"/>
            <w:tcBorders>
              <w:top w:val="single" w:sz="6" w:space="0" w:color="000000"/>
            </w:tcBorders>
          </w:tcPr>
          <w:p>
            <w:pPr>
              <w:pStyle w:val="TableParagraph"/>
              <w:spacing w:before="17"/>
              <w:ind w:right="41"/>
              <w:jc w:val="right"/>
              <w:rPr>
                <w:sz w:val="15"/>
              </w:rPr>
            </w:pPr>
            <w:r>
              <w:rPr>
                <w:spacing w:val="-5"/>
                <w:w w:val="105"/>
                <w:sz w:val="15"/>
              </w:rPr>
              <w:t>713</w:t>
            </w:r>
          </w:p>
        </w:tc>
        <w:tc>
          <w:tcPr>
            <w:tcW w:w="158" w:type="dxa"/>
          </w:tcPr>
          <w:p>
            <w:pPr>
              <w:pStyle w:val="TableParagraph"/>
              <w:rPr>
                <w:rFonts w:ascii="Times New Roman"/>
                <w:sz w:val="14"/>
              </w:rPr>
            </w:pPr>
          </w:p>
        </w:tc>
        <w:tc>
          <w:tcPr>
            <w:tcW w:w="604" w:type="dxa"/>
            <w:tcBorders>
              <w:top w:val="single" w:sz="6" w:space="0" w:color="000000"/>
            </w:tcBorders>
          </w:tcPr>
          <w:p>
            <w:pPr>
              <w:pStyle w:val="TableParagraph"/>
              <w:spacing w:before="17"/>
              <w:ind w:right="47"/>
              <w:jc w:val="right"/>
              <w:rPr>
                <w:sz w:val="15"/>
              </w:rPr>
            </w:pPr>
            <w:r>
              <w:rPr>
                <w:spacing w:val="-5"/>
                <w:w w:val="105"/>
                <w:sz w:val="15"/>
              </w:rPr>
              <w:t>24%</w:t>
            </w:r>
          </w:p>
        </w:tc>
        <w:tc>
          <w:tcPr>
            <w:tcW w:w="159" w:type="dxa"/>
          </w:tcPr>
          <w:p>
            <w:pPr>
              <w:pStyle w:val="TableParagraph"/>
              <w:rPr>
                <w:rFonts w:ascii="Times New Roman"/>
                <w:sz w:val="14"/>
              </w:rPr>
            </w:pPr>
          </w:p>
        </w:tc>
        <w:tc>
          <w:tcPr>
            <w:tcW w:w="604" w:type="dxa"/>
            <w:tcBorders>
              <w:top w:val="single" w:sz="6" w:space="0" w:color="000000"/>
            </w:tcBorders>
          </w:tcPr>
          <w:p>
            <w:pPr>
              <w:pStyle w:val="TableParagraph"/>
              <w:spacing w:before="17"/>
              <w:ind w:right="43"/>
              <w:jc w:val="right"/>
              <w:rPr>
                <w:sz w:val="15"/>
              </w:rPr>
            </w:pPr>
            <w:r>
              <w:rPr>
                <w:spacing w:val="-5"/>
                <w:w w:val="105"/>
                <w:sz w:val="15"/>
              </w:rPr>
              <w:t>999</w:t>
            </w:r>
          </w:p>
        </w:tc>
        <w:tc>
          <w:tcPr>
            <w:tcW w:w="158" w:type="dxa"/>
          </w:tcPr>
          <w:p>
            <w:pPr>
              <w:pStyle w:val="TableParagraph"/>
              <w:rPr>
                <w:rFonts w:ascii="Times New Roman"/>
                <w:sz w:val="14"/>
              </w:rPr>
            </w:pPr>
          </w:p>
        </w:tc>
        <w:tc>
          <w:tcPr>
            <w:tcW w:w="575" w:type="dxa"/>
            <w:tcBorders>
              <w:top w:val="single" w:sz="6" w:space="0" w:color="000000"/>
            </w:tcBorders>
          </w:tcPr>
          <w:p>
            <w:pPr>
              <w:pStyle w:val="TableParagraph"/>
              <w:spacing w:before="17"/>
              <w:ind w:right="47"/>
              <w:jc w:val="right"/>
              <w:rPr>
                <w:sz w:val="15"/>
              </w:rPr>
            </w:pPr>
            <w:r>
              <w:rPr>
                <w:spacing w:val="-5"/>
                <w:w w:val="105"/>
                <w:sz w:val="15"/>
              </w:rPr>
              <w:t>11%</w:t>
            </w:r>
          </w:p>
        </w:tc>
        <w:tc>
          <w:tcPr>
            <w:tcW w:w="158" w:type="dxa"/>
          </w:tcPr>
          <w:p>
            <w:pPr>
              <w:pStyle w:val="TableParagraph"/>
              <w:rPr>
                <w:rFonts w:ascii="Times New Roman"/>
                <w:sz w:val="14"/>
              </w:rPr>
            </w:pPr>
          </w:p>
        </w:tc>
        <w:tc>
          <w:tcPr>
            <w:tcW w:w="589" w:type="dxa"/>
            <w:tcBorders>
              <w:top w:val="single" w:sz="6" w:space="0" w:color="000000"/>
            </w:tcBorders>
          </w:tcPr>
          <w:p>
            <w:pPr>
              <w:pStyle w:val="TableParagraph"/>
              <w:spacing w:before="17"/>
              <w:ind w:right="42"/>
              <w:jc w:val="right"/>
              <w:rPr>
                <w:sz w:val="15"/>
              </w:rPr>
            </w:pPr>
            <w:r>
              <w:rPr>
                <w:spacing w:val="-5"/>
                <w:w w:val="105"/>
                <w:sz w:val="15"/>
              </w:rPr>
              <w:t>13</w:t>
            </w:r>
          </w:p>
        </w:tc>
        <w:tc>
          <w:tcPr>
            <w:tcW w:w="157" w:type="dxa"/>
          </w:tcPr>
          <w:p>
            <w:pPr>
              <w:pStyle w:val="TableParagraph"/>
              <w:rPr>
                <w:rFonts w:ascii="Times New Roman"/>
                <w:sz w:val="14"/>
              </w:rPr>
            </w:pPr>
          </w:p>
        </w:tc>
        <w:tc>
          <w:tcPr>
            <w:tcW w:w="675" w:type="dxa"/>
            <w:tcBorders>
              <w:top w:val="single" w:sz="6" w:space="0" w:color="000000"/>
            </w:tcBorders>
          </w:tcPr>
          <w:p>
            <w:pPr>
              <w:pStyle w:val="TableParagraph"/>
              <w:spacing w:before="17"/>
              <w:ind w:right="45"/>
              <w:jc w:val="right"/>
              <w:rPr>
                <w:sz w:val="15"/>
              </w:rPr>
            </w:pPr>
            <w:r>
              <w:rPr>
                <w:spacing w:val="-5"/>
                <w:w w:val="105"/>
                <w:sz w:val="15"/>
              </w:rPr>
              <w:t>6%</w:t>
            </w:r>
          </w:p>
        </w:tc>
        <w:tc>
          <w:tcPr>
            <w:tcW w:w="157" w:type="dxa"/>
          </w:tcPr>
          <w:p>
            <w:pPr>
              <w:pStyle w:val="TableParagraph"/>
              <w:rPr>
                <w:rFonts w:ascii="Times New Roman"/>
                <w:sz w:val="14"/>
              </w:rPr>
            </w:pPr>
          </w:p>
        </w:tc>
        <w:tc>
          <w:tcPr>
            <w:tcW w:w="646" w:type="dxa"/>
            <w:tcBorders>
              <w:top w:val="single" w:sz="6" w:space="0" w:color="000000"/>
            </w:tcBorders>
          </w:tcPr>
          <w:p>
            <w:pPr>
              <w:pStyle w:val="TableParagraph"/>
              <w:spacing w:before="17"/>
              <w:ind w:right="41"/>
              <w:jc w:val="right"/>
              <w:rPr>
                <w:sz w:val="15"/>
              </w:rPr>
            </w:pPr>
            <w:r>
              <w:rPr>
                <w:spacing w:val="-4"/>
                <w:w w:val="105"/>
                <w:sz w:val="15"/>
              </w:rPr>
              <w:t>1.3%</w:t>
            </w:r>
          </w:p>
        </w:tc>
        <w:tc>
          <w:tcPr>
            <w:tcW w:w="157" w:type="dxa"/>
          </w:tcPr>
          <w:p>
            <w:pPr>
              <w:pStyle w:val="TableParagraph"/>
              <w:rPr>
                <w:rFonts w:ascii="Times New Roman"/>
                <w:sz w:val="14"/>
              </w:rPr>
            </w:pPr>
          </w:p>
        </w:tc>
        <w:tc>
          <w:tcPr>
            <w:tcW w:w="746" w:type="dxa"/>
            <w:tcBorders>
              <w:top w:val="single" w:sz="6" w:space="0" w:color="000000"/>
            </w:tcBorders>
          </w:tcPr>
          <w:p>
            <w:pPr>
              <w:pStyle w:val="TableParagraph"/>
              <w:spacing w:before="17"/>
              <w:ind w:right="38"/>
              <w:jc w:val="right"/>
              <w:rPr>
                <w:sz w:val="15"/>
              </w:rPr>
            </w:pPr>
            <w:r>
              <w:rPr>
                <w:spacing w:val="-2"/>
                <w:w w:val="105"/>
                <w:sz w:val="15"/>
              </w:rPr>
              <w:t>40.0%</w:t>
            </w:r>
          </w:p>
        </w:tc>
        <w:tc>
          <w:tcPr>
            <w:tcW w:w="157" w:type="dxa"/>
          </w:tcPr>
          <w:p>
            <w:pPr>
              <w:pStyle w:val="TableParagraph"/>
              <w:rPr>
                <w:rFonts w:ascii="Times New Roman"/>
                <w:sz w:val="14"/>
              </w:rPr>
            </w:pPr>
          </w:p>
        </w:tc>
        <w:tc>
          <w:tcPr>
            <w:tcW w:w="674" w:type="dxa"/>
            <w:tcBorders>
              <w:top w:val="single" w:sz="6" w:space="0" w:color="000000"/>
            </w:tcBorders>
          </w:tcPr>
          <w:p>
            <w:pPr>
              <w:pStyle w:val="TableParagraph"/>
              <w:spacing w:before="17"/>
              <w:ind w:right="35"/>
              <w:jc w:val="right"/>
              <w:rPr>
                <w:sz w:val="15"/>
              </w:rPr>
            </w:pPr>
            <w:r>
              <w:rPr>
                <w:spacing w:val="-4"/>
                <w:w w:val="105"/>
                <w:sz w:val="15"/>
              </w:rPr>
              <w:t>4.4%</w:t>
            </w:r>
          </w:p>
        </w:tc>
      </w:tr>
      <w:tr>
        <w:trPr>
          <w:trHeight w:val="215" w:hRule="atLeast"/>
        </w:trPr>
        <w:tc>
          <w:tcPr>
            <w:tcW w:w="1452" w:type="dxa"/>
          </w:tcPr>
          <w:p>
            <w:pPr>
              <w:pStyle w:val="TableParagraph"/>
              <w:spacing w:before="21"/>
              <w:ind w:left="43"/>
              <w:rPr>
                <w:sz w:val="15"/>
              </w:rPr>
            </w:pPr>
            <w:r>
              <w:rPr>
                <w:w w:val="105"/>
                <w:sz w:val="15"/>
              </w:rPr>
              <w:t>2</w:t>
            </w:r>
            <w:r>
              <w:rPr>
                <w:spacing w:val="-4"/>
                <w:w w:val="105"/>
                <w:sz w:val="15"/>
              </w:rPr>
              <w:t> </w:t>
            </w:r>
            <w:r>
              <w:rPr>
                <w:spacing w:val="-2"/>
                <w:w w:val="105"/>
                <w:sz w:val="15"/>
              </w:rPr>
              <w:t>Bedroom</w:t>
            </w:r>
          </w:p>
        </w:tc>
        <w:tc>
          <w:tcPr>
            <w:tcW w:w="158" w:type="dxa"/>
          </w:tcPr>
          <w:p>
            <w:pPr>
              <w:pStyle w:val="TableParagraph"/>
              <w:rPr>
                <w:rFonts w:ascii="Times New Roman"/>
                <w:sz w:val="14"/>
              </w:rPr>
            </w:pPr>
          </w:p>
        </w:tc>
        <w:tc>
          <w:tcPr>
            <w:tcW w:w="619" w:type="dxa"/>
          </w:tcPr>
          <w:p>
            <w:pPr>
              <w:pStyle w:val="TableParagraph"/>
              <w:spacing w:before="21"/>
              <w:ind w:right="41"/>
              <w:jc w:val="right"/>
              <w:rPr>
                <w:sz w:val="15"/>
              </w:rPr>
            </w:pPr>
            <w:r>
              <w:rPr>
                <w:spacing w:val="-5"/>
                <w:w w:val="105"/>
                <w:sz w:val="15"/>
              </w:rPr>
              <w:t>824</w:t>
            </w:r>
          </w:p>
        </w:tc>
        <w:tc>
          <w:tcPr>
            <w:tcW w:w="158" w:type="dxa"/>
          </w:tcPr>
          <w:p>
            <w:pPr>
              <w:pStyle w:val="TableParagraph"/>
              <w:rPr>
                <w:rFonts w:ascii="Times New Roman"/>
                <w:sz w:val="14"/>
              </w:rPr>
            </w:pPr>
          </w:p>
        </w:tc>
        <w:tc>
          <w:tcPr>
            <w:tcW w:w="604" w:type="dxa"/>
          </w:tcPr>
          <w:p>
            <w:pPr>
              <w:pStyle w:val="TableParagraph"/>
              <w:spacing w:before="21"/>
              <w:ind w:right="47"/>
              <w:jc w:val="right"/>
              <w:rPr>
                <w:sz w:val="15"/>
              </w:rPr>
            </w:pPr>
            <w:r>
              <w:rPr>
                <w:spacing w:val="-5"/>
                <w:w w:val="105"/>
                <w:sz w:val="15"/>
              </w:rPr>
              <w:t>28%</w:t>
            </w:r>
          </w:p>
        </w:tc>
        <w:tc>
          <w:tcPr>
            <w:tcW w:w="159" w:type="dxa"/>
          </w:tcPr>
          <w:p>
            <w:pPr>
              <w:pStyle w:val="TableParagraph"/>
              <w:rPr>
                <w:rFonts w:ascii="Times New Roman"/>
                <w:sz w:val="14"/>
              </w:rPr>
            </w:pPr>
          </w:p>
        </w:tc>
        <w:tc>
          <w:tcPr>
            <w:tcW w:w="604" w:type="dxa"/>
          </w:tcPr>
          <w:p>
            <w:pPr>
              <w:pStyle w:val="TableParagraph"/>
              <w:spacing w:before="21"/>
              <w:ind w:right="41"/>
              <w:jc w:val="right"/>
              <w:rPr>
                <w:sz w:val="15"/>
              </w:rPr>
            </w:pPr>
            <w:r>
              <w:rPr>
                <w:spacing w:val="-2"/>
                <w:w w:val="105"/>
                <w:sz w:val="15"/>
              </w:rPr>
              <w:t>2,089</w:t>
            </w:r>
          </w:p>
        </w:tc>
        <w:tc>
          <w:tcPr>
            <w:tcW w:w="158" w:type="dxa"/>
          </w:tcPr>
          <w:p>
            <w:pPr>
              <w:pStyle w:val="TableParagraph"/>
              <w:rPr>
                <w:rFonts w:ascii="Times New Roman"/>
                <w:sz w:val="14"/>
              </w:rPr>
            </w:pPr>
          </w:p>
        </w:tc>
        <w:tc>
          <w:tcPr>
            <w:tcW w:w="575" w:type="dxa"/>
          </w:tcPr>
          <w:p>
            <w:pPr>
              <w:pStyle w:val="TableParagraph"/>
              <w:spacing w:before="21"/>
              <w:ind w:right="47"/>
              <w:jc w:val="right"/>
              <w:rPr>
                <w:sz w:val="15"/>
              </w:rPr>
            </w:pPr>
            <w:r>
              <w:rPr>
                <w:spacing w:val="-5"/>
                <w:w w:val="105"/>
                <w:sz w:val="15"/>
              </w:rPr>
              <w:t>22%</w:t>
            </w:r>
          </w:p>
        </w:tc>
        <w:tc>
          <w:tcPr>
            <w:tcW w:w="158" w:type="dxa"/>
          </w:tcPr>
          <w:p>
            <w:pPr>
              <w:pStyle w:val="TableParagraph"/>
              <w:rPr>
                <w:rFonts w:ascii="Times New Roman"/>
                <w:sz w:val="14"/>
              </w:rPr>
            </w:pPr>
          </w:p>
        </w:tc>
        <w:tc>
          <w:tcPr>
            <w:tcW w:w="589" w:type="dxa"/>
          </w:tcPr>
          <w:p>
            <w:pPr>
              <w:pStyle w:val="TableParagraph"/>
              <w:spacing w:before="21"/>
              <w:ind w:right="42"/>
              <w:jc w:val="right"/>
              <w:rPr>
                <w:sz w:val="15"/>
              </w:rPr>
            </w:pPr>
            <w:r>
              <w:rPr>
                <w:spacing w:val="-5"/>
                <w:w w:val="105"/>
                <w:sz w:val="15"/>
              </w:rPr>
              <w:t>36</w:t>
            </w:r>
          </w:p>
        </w:tc>
        <w:tc>
          <w:tcPr>
            <w:tcW w:w="157" w:type="dxa"/>
          </w:tcPr>
          <w:p>
            <w:pPr>
              <w:pStyle w:val="TableParagraph"/>
              <w:rPr>
                <w:rFonts w:ascii="Times New Roman"/>
                <w:sz w:val="14"/>
              </w:rPr>
            </w:pPr>
          </w:p>
        </w:tc>
        <w:tc>
          <w:tcPr>
            <w:tcW w:w="675" w:type="dxa"/>
          </w:tcPr>
          <w:p>
            <w:pPr>
              <w:pStyle w:val="TableParagraph"/>
              <w:spacing w:before="21"/>
              <w:ind w:right="45"/>
              <w:jc w:val="right"/>
              <w:rPr>
                <w:sz w:val="15"/>
              </w:rPr>
            </w:pPr>
            <w:r>
              <w:rPr>
                <w:spacing w:val="-5"/>
                <w:w w:val="105"/>
                <w:sz w:val="15"/>
              </w:rPr>
              <w:t>16%</w:t>
            </w:r>
          </w:p>
        </w:tc>
        <w:tc>
          <w:tcPr>
            <w:tcW w:w="157" w:type="dxa"/>
          </w:tcPr>
          <w:p>
            <w:pPr>
              <w:pStyle w:val="TableParagraph"/>
              <w:rPr>
                <w:rFonts w:ascii="Times New Roman"/>
                <w:sz w:val="14"/>
              </w:rPr>
            </w:pPr>
          </w:p>
        </w:tc>
        <w:tc>
          <w:tcPr>
            <w:tcW w:w="646" w:type="dxa"/>
          </w:tcPr>
          <w:p>
            <w:pPr>
              <w:pStyle w:val="TableParagraph"/>
              <w:spacing w:before="21"/>
              <w:ind w:right="41"/>
              <w:jc w:val="right"/>
              <w:rPr>
                <w:sz w:val="15"/>
              </w:rPr>
            </w:pPr>
            <w:r>
              <w:rPr>
                <w:spacing w:val="-4"/>
                <w:w w:val="105"/>
                <w:sz w:val="15"/>
              </w:rPr>
              <w:t>1.7%</w:t>
            </w:r>
          </w:p>
        </w:tc>
        <w:tc>
          <w:tcPr>
            <w:tcW w:w="157" w:type="dxa"/>
          </w:tcPr>
          <w:p>
            <w:pPr>
              <w:pStyle w:val="TableParagraph"/>
              <w:rPr>
                <w:rFonts w:ascii="Times New Roman"/>
                <w:sz w:val="14"/>
              </w:rPr>
            </w:pPr>
          </w:p>
        </w:tc>
        <w:tc>
          <w:tcPr>
            <w:tcW w:w="746" w:type="dxa"/>
          </w:tcPr>
          <w:p>
            <w:pPr>
              <w:pStyle w:val="TableParagraph"/>
              <w:spacing w:before="21"/>
              <w:ind w:right="38"/>
              <w:jc w:val="right"/>
              <w:rPr>
                <w:sz w:val="15"/>
              </w:rPr>
            </w:pPr>
            <w:r>
              <w:rPr>
                <w:spacing w:val="-2"/>
                <w:w w:val="105"/>
                <w:sz w:val="15"/>
              </w:rPr>
              <w:t>38.9%</w:t>
            </w:r>
          </w:p>
        </w:tc>
        <w:tc>
          <w:tcPr>
            <w:tcW w:w="157" w:type="dxa"/>
          </w:tcPr>
          <w:p>
            <w:pPr>
              <w:pStyle w:val="TableParagraph"/>
              <w:rPr>
                <w:rFonts w:ascii="Times New Roman"/>
                <w:sz w:val="14"/>
              </w:rPr>
            </w:pPr>
          </w:p>
        </w:tc>
        <w:tc>
          <w:tcPr>
            <w:tcW w:w="674" w:type="dxa"/>
          </w:tcPr>
          <w:p>
            <w:pPr>
              <w:pStyle w:val="TableParagraph"/>
              <w:spacing w:before="21"/>
              <w:ind w:right="35"/>
              <w:jc w:val="right"/>
              <w:rPr>
                <w:sz w:val="15"/>
              </w:rPr>
            </w:pPr>
            <w:r>
              <w:rPr>
                <w:spacing w:val="-4"/>
                <w:w w:val="105"/>
                <w:sz w:val="15"/>
              </w:rPr>
              <w:t>2.8%</w:t>
            </w:r>
          </w:p>
        </w:tc>
      </w:tr>
      <w:tr>
        <w:trPr>
          <w:trHeight w:val="215" w:hRule="atLeast"/>
        </w:trPr>
        <w:tc>
          <w:tcPr>
            <w:tcW w:w="1452" w:type="dxa"/>
          </w:tcPr>
          <w:p>
            <w:pPr>
              <w:pStyle w:val="TableParagraph"/>
              <w:spacing w:before="21"/>
              <w:ind w:left="43"/>
              <w:rPr>
                <w:sz w:val="15"/>
              </w:rPr>
            </w:pPr>
            <w:r>
              <w:rPr>
                <w:w w:val="105"/>
                <w:sz w:val="15"/>
              </w:rPr>
              <w:t>3</w:t>
            </w:r>
            <w:r>
              <w:rPr>
                <w:spacing w:val="-4"/>
                <w:w w:val="105"/>
                <w:sz w:val="15"/>
              </w:rPr>
              <w:t> </w:t>
            </w:r>
            <w:r>
              <w:rPr>
                <w:spacing w:val="-2"/>
                <w:w w:val="105"/>
                <w:sz w:val="15"/>
              </w:rPr>
              <w:t>Bedroom</w:t>
            </w:r>
          </w:p>
        </w:tc>
        <w:tc>
          <w:tcPr>
            <w:tcW w:w="158" w:type="dxa"/>
          </w:tcPr>
          <w:p>
            <w:pPr>
              <w:pStyle w:val="TableParagraph"/>
              <w:rPr>
                <w:rFonts w:ascii="Times New Roman"/>
                <w:sz w:val="14"/>
              </w:rPr>
            </w:pPr>
          </w:p>
        </w:tc>
        <w:tc>
          <w:tcPr>
            <w:tcW w:w="619" w:type="dxa"/>
          </w:tcPr>
          <w:p>
            <w:pPr>
              <w:pStyle w:val="TableParagraph"/>
              <w:spacing w:before="21"/>
              <w:ind w:right="41"/>
              <w:jc w:val="right"/>
              <w:rPr>
                <w:sz w:val="15"/>
              </w:rPr>
            </w:pPr>
            <w:r>
              <w:rPr>
                <w:spacing w:val="-5"/>
                <w:w w:val="105"/>
                <w:sz w:val="15"/>
              </w:rPr>
              <w:t>344</w:t>
            </w:r>
          </w:p>
        </w:tc>
        <w:tc>
          <w:tcPr>
            <w:tcW w:w="158" w:type="dxa"/>
          </w:tcPr>
          <w:p>
            <w:pPr>
              <w:pStyle w:val="TableParagraph"/>
              <w:rPr>
                <w:rFonts w:ascii="Times New Roman"/>
                <w:sz w:val="14"/>
              </w:rPr>
            </w:pPr>
          </w:p>
        </w:tc>
        <w:tc>
          <w:tcPr>
            <w:tcW w:w="604" w:type="dxa"/>
          </w:tcPr>
          <w:p>
            <w:pPr>
              <w:pStyle w:val="TableParagraph"/>
              <w:spacing w:before="21"/>
              <w:ind w:right="47"/>
              <w:jc w:val="right"/>
              <w:rPr>
                <w:sz w:val="15"/>
              </w:rPr>
            </w:pPr>
            <w:r>
              <w:rPr>
                <w:spacing w:val="-5"/>
                <w:w w:val="105"/>
                <w:sz w:val="15"/>
              </w:rPr>
              <w:t>11%</w:t>
            </w:r>
          </w:p>
        </w:tc>
        <w:tc>
          <w:tcPr>
            <w:tcW w:w="159" w:type="dxa"/>
          </w:tcPr>
          <w:p>
            <w:pPr>
              <w:pStyle w:val="TableParagraph"/>
              <w:rPr>
                <w:rFonts w:ascii="Times New Roman"/>
                <w:sz w:val="14"/>
              </w:rPr>
            </w:pPr>
          </w:p>
        </w:tc>
        <w:tc>
          <w:tcPr>
            <w:tcW w:w="604" w:type="dxa"/>
          </w:tcPr>
          <w:p>
            <w:pPr>
              <w:pStyle w:val="TableParagraph"/>
              <w:spacing w:before="21"/>
              <w:ind w:right="41"/>
              <w:jc w:val="right"/>
              <w:rPr>
                <w:sz w:val="15"/>
              </w:rPr>
            </w:pPr>
            <w:r>
              <w:rPr>
                <w:spacing w:val="-2"/>
                <w:w w:val="105"/>
                <w:sz w:val="15"/>
              </w:rPr>
              <w:t>1,123</w:t>
            </w:r>
          </w:p>
        </w:tc>
        <w:tc>
          <w:tcPr>
            <w:tcW w:w="158" w:type="dxa"/>
          </w:tcPr>
          <w:p>
            <w:pPr>
              <w:pStyle w:val="TableParagraph"/>
              <w:rPr>
                <w:rFonts w:ascii="Times New Roman"/>
                <w:sz w:val="14"/>
              </w:rPr>
            </w:pPr>
          </w:p>
        </w:tc>
        <w:tc>
          <w:tcPr>
            <w:tcW w:w="575" w:type="dxa"/>
          </w:tcPr>
          <w:p>
            <w:pPr>
              <w:pStyle w:val="TableParagraph"/>
              <w:spacing w:before="21"/>
              <w:ind w:right="47"/>
              <w:jc w:val="right"/>
              <w:rPr>
                <w:sz w:val="15"/>
              </w:rPr>
            </w:pPr>
            <w:r>
              <w:rPr>
                <w:spacing w:val="-5"/>
                <w:w w:val="105"/>
                <w:sz w:val="15"/>
              </w:rPr>
              <w:t>12%</w:t>
            </w:r>
          </w:p>
        </w:tc>
        <w:tc>
          <w:tcPr>
            <w:tcW w:w="158" w:type="dxa"/>
          </w:tcPr>
          <w:p>
            <w:pPr>
              <w:pStyle w:val="TableParagraph"/>
              <w:rPr>
                <w:rFonts w:ascii="Times New Roman"/>
                <w:sz w:val="14"/>
              </w:rPr>
            </w:pPr>
          </w:p>
        </w:tc>
        <w:tc>
          <w:tcPr>
            <w:tcW w:w="589" w:type="dxa"/>
          </w:tcPr>
          <w:p>
            <w:pPr>
              <w:pStyle w:val="TableParagraph"/>
              <w:spacing w:before="21"/>
              <w:ind w:right="42"/>
              <w:jc w:val="right"/>
              <w:rPr>
                <w:sz w:val="15"/>
              </w:rPr>
            </w:pPr>
            <w:r>
              <w:rPr>
                <w:spacing w:val="-5"/>
                <w:w w:val="105"/>
                <w:sz w:val="15"/>
              </w:rPr>
              <w:t>29</w:t>
            </w:r>
          </w:p>
        </w:tc>
        <w:tc>
          <w:tcPr>
            <w:tcW w:w="157" w:type="dxa"/>
          </w:tcPr>
          <w:p>
            <w:pPr>
              <w:pStyle w:val="TableParagraph"/>
              <w:rPr>
                <w:rFonts w:ascii="Times New Roman"/>
                <w:sz w:val="14"/>
              </w:rPr>
            </w:pPr>
          </w:p>
        </w:tc>
        <w:tc>
          <w:tcPr>
            <w:tcW w:w="675" w:type="dxa"/>
          </w:tcPr>
          <w:p>
            <w:pPr>
              <w:pStyle w:val="TableParagraph"/>
              <w:spacing w:before="21"/>
              <w:ind w:right="45"/>
              <w:jc w:val="right"/>
              <w:rPr>
                <w:sz w:val="15"/>
              </w:rPr>
            </w:pPr>
            <w:r>
              <w:rPr>
                <w:spacing w:val="-5"/>
                <w:w w:val="105"/>
                <w:sz w:val="15"/>
              </w:rPr>
              <w:t>13%</w:t>
            </w:r>
          </w:p>
        </w:tc>
        <w:tc>
          <w:tcPr>
            <w:tcW w:w="157" w:type="dxa"/>
          </w:tcPr>
          <w:p>
            <w:pPr>
              <w:pStyle w:val="TableParagraph"/>
              <w:rPr>
                <w:rFonts w:ascii="Times New Roman"/>
                <w:sz w:val="14"/>
              </w:rPr>
            </w:pPr>
          </w:p>
        </w:tc>
        <w:tc>
          <w:tcPr>
            <w:tcW w:w="646" w:type="dxa"/>
          </w:tcPr>
          <w:p>
            <w:pPr>
              <w:pStyle w:val="TableParagraph"/>
              <w:spacing w:before="21"/>
              <w:ind w:right="41"/>
              <w:jc w:val="right"/>
              <w:rPr>
                <w:sz w:val="15"/>
              </w:rPr>
            </w:pPr>
            <w:r>
              <w:rPr>
                <w:spacing w:val="-4"/>
                <w:w w:val="105"/>
                <w:sz w:val="15"/>
              </w:rPr>
              <w:t>2.6%</w:t>
            </w:r>
          </w:p>
        </w:tc>
        <w:tc>
          <w:tcPr>
            <w:tcW w:w="157" w:type="dxa"/>
          </w:tcPr>
          <w:p>
            <w:pPr>
              <w:pStyle w:val="TableParagraph"/>
              <w:rPr>
                <w:rFonts w:ascii="Times New Roman"/>
                <w:sz w:val="14"/>
              </w:rPr>
            </w:pPr>
          </w:p>
        </w:tc>
        <w:tc>
          <w:tcPr>
            <w:tcW w:w="746" w:type="dxa"/>
          </w:tcPr>
          <w:p>
            <w:pPr>
              <w:pStyle w:val="TableParagraph"/>
              <w:spacing w:before="21"/>
              <w:ind w:right="38"/>
              <w:jc w:val="right"/>
              <w:rPr>
                <w:sz w:val="15"/>
              </w:rPr>
            </w:pPr>
            <w:r>
              <w:rPr>
                <w:spacing w:val="-2"/>
                <w:w w:val="105"/>
                <w:sz w:val="15"/>
              </w:rPr>
              <w:t>34.1%</w:t>
            </w:r>
          </w:p>
        </w:tc>
        <w:tc>
          <w:tcPr>
            <w:tcW w:w="157" w:type="dxa"/>
          </w:tcPr>
          <w:p>
            <w:pPr>
              <w:pStyle w:val="TableParagraph"/>
              <w:rPr>
                <w:rFonts w:ascii="Times New Roman"/>
                <w:sz w:val="14"/>
              </w:rPr>
            </w:pPr>
          </w:p>
        </w:tc>
        <w:tc>
          <w:tcPr>
            <w:tcW w:w="674" w:type="dxa"/>
          </w:tcPr>
          <w:p>
            <w:pPr>
              <w:pStyle w:val="TableParagraph"/>
              <w:spacing w:before="21"/>
              <w:ind w:right="35"/>
              <w:jc w:val="right"/>
              <w:rPr>
                <w:sz w:val="15"/>
              </w:rPr>
            </w:pPr>
            <w:r>
              <w:rPr>
                <w:spacing w:val="-4"/>
                <w:w w:val="105"/>
                <w:sz w:val="15"/>
              </w:rPr>
              <w:t>3.3%</w:t>
            </w:r>
          </w:p>
        </w:tc>
      </w:tr>
      <w:tr>
        <w:trPr>
          <w:trHeight w:val="205" w:hRule="atLeast"/>
        </w:trPr>
        <w:tc>
          <w:tcPr>
            <w:tcW w:w="1452" w:type="dxa"/>
            <w:tcBorders>
              <w:bottom w:val="single" w:sz="6" w:space="0" w:color="000000"/>
            </w:tcBorders>
          </w:tcPr>
          <w:p>
            <w:pPr>
              <w:pStyle w:val="TableParagraph"/>
              <w:spacing w:line="164" w:lineRule="exact" w:before="21"/>
              <w:ind w:left="43"/>
              <w:rPr>
                <w:sz w:val="15"/>
              </w:rPr>
            </w:pPr>
            <w:r>
              <w:rPr>
                <w:spacing w:val="-2"/>
                <w:w w:val="105"/>
                <w:sz w:val="15"/>
              </w:rPr>
              <w:t>4+</w:t>
            </w:r>
            <w:r>
              <w:rPr>
                <w:spacing w:val="-8"/>
                <w:w w:val="105"/>
                <w:sz w:val="15"/>
              </w:rPr>
              <w:t> </w:t>
            </w:r>
            <w:r>
              <w:rPr>
                <w:spacing w:val="-2"/>
                <w:w w:val="105"/>
                <w:sz w:val="15"/>
              </w:rPr>
              <w:t>Bedroom</w:t>
            </w:r>
          </w:p>
        </w:tc>
        <w:tc>
          <w:tcPr>
            <w:tcW w:w="158" w:type="dxa"/>
          </w:tcPr>
          <w:p>
            <w:pPr>
              <w:pStyle w:val="TableParagraph"/>
              <w:rPr>
                <w:rFonts w:ascii="Times New Roman"/>
                <w:sz w:val="14"/>
              </w:rPr>
            </w:pPr>
          </w:p>
        </w:tc>
        <w:tc>
          <w:tcPr>
            <w:tcW w:w="619" w:type="dxa"/>
            <w:tcBorders>
              <w:bottom w:val="single" w:sz="6" w:space="0" w:color="000000"/>
            </w:tcBorders>
          </w:tcPr>
          <w:p>
            <w:pPr>
              <w:pStyle w:val="TableParagraph"/>
              <w:spacing w:line="164" w:lineRule="exact" w:before="21"/>
              <w:ind w:right="40"/>
              <w:jc w:val="right"/>
              <w:rPr>
                <w:sz w:val="15"/>
              </w:rPr>
            </w:pPr>
            <w:r>
              <w:rPr>
                <w:spacing w:val="-2"/>
                <w:w w:val="105"/>
                <w:sz w:val="15"/>
              </w:rPr>
              <w:t>1,115</w:t>
            </w:r>
          </w:p>
        </w:tc>
        <w:tc>
          <w:tcPr>
            <w:tcW w:w="158" w:type="dxa"/>
          </w:tcPr>
          <w:p>
            <w:pPr>
              <w:pStyle w:val="TableParagraph"/>
              <w:rPr>
                <w:rFonts w:ascii="Times New Roman"/>
                <w:sz w:val="14"/>
              </w:rPr>
            </w:pPr>
          </w:p>
        </w:tc>
        <w:tc>
          <w:tcPr>
            <w:tcW w:w="604" w:type="dxa"/>
            <w:tcBorders>
              <w:bottom w:val="single" w:sz="6" w:space="0" w:color="000000"/>
            </w:tcBorders>
          </w:tcPr>
          <w:p>
            <w:pPr>
              <w:pStyle w:val="TableParagraph"/>
              <w:spacing w:line="164" w:lineRule="exact" w:before="21"/>
              <w:ind w:right="47"/>
              <w:jc w:val="right"/>
              <w:rPr>
                <w:sz w:val="15"/>
              </w:rPr>
            </w:pPr>
            <w:r>
              <w:rPr>
                <w:spacing w:val="-5"/>
                <w:w w:val="105"/>
                <w:sz w:val="15"/>
              </w:rPr>
              <w:t>37%</w:t>
            </w:r>
          </w:p>
        </w:tc>
        <w:tc>
          <w:tcPr>
            <w:tcW w:w="159" w:type="dxa"/>
          </w:tcPr>
          <w:p>
            <w:pPr>
              <w:pStyle w:val="TableParagraph"/>
              <w:rPr>
                <w:rFonts w:ascii="Times New Roman"/>
                <w:sz w:val="14"/>
              </w:rPr>
            </w:pPr>
          </w:p>
        </w:tc>
        <w:tc>
          <w:tcPr>
            <w:tcW w:w="604" w:type="dxa"/>
            <w:tcBorders>
              <w:bottom w:val="single" w:sz="6" w:space="0" w:color="000000"/>
            </w:tcBorders>
          </w:tcPr>
          <w:p>
            <w:pPr>
              <w:pStyle w:val="TableParagraph"/>
              <w:spacing w:line="164" w:lineRule="exact" w:before="21"/>
              <w:ind w:right="41"/>
              <w:jc w:val="right"/>
              <w:rPr>
                <w:sz w:val="15"/>
              </w:rPr>
            </w:pPr>
            <w:r>
              <w:rPr>
                <w:spacing w:val="-2"/>
                <w:w w:val="105"/>
                <w:sz w:val="15"/>
              </w:rPr>
              <w:t>5,165</w:t>
            </w:r>
          </w:p>
        </w:tc>
        <w:tc>
          <w:tcPr>
            <w:tcW w:w="158" w:type="dxa"/>
          </w:tcPr>
          <w:p>
            <w:pPr>
              <w:pStyle w:val="TableParagraph"/>
              <w:rPr>
                <w:rFonts w:ascii="Times New Roman"/>
                <w:sz w:val="14"/>
              </w:rPr>
            </w:pPr>
          </w:p>
        </w:tc>
        <w:tc>
          <w:tcPr>
            <w:tcW w:w="575" w:type="dxa"/>
            <w:tcBorders>
              <w:bottom w:val="single" w:sz="6" w:space="0" w:color="000000"/>
            </w:tcBorders>
          </w:tcPr>
          <w:p>
            <w:pPr>
              <w:pStyle w:val="TableParagraph"/>
              <w:spacing w:line="164" w:lineRule="exact" w:before="21"/>
              <w:ind w:right="47"/>
              <w:jc w:val="right"/>
              <w:rPr>
                <w:sz w:val="15"/>
              </w:rPr>
            </w:pPr>
            <w:r>
              <w:rPr>
                <w:spacing w:val="-5"/>
                <w:w w:val="105"/>
                <w:sz w:val="15"/>
              </w:rPr>
              <w:t>55%</w:t>
            </w:r>
          </w:p>
        </w:tc>
        <w:tc>
          <w:tcPr>
            <w:tcW w:w="158" w:type="dxa"/>
          </w:tcPr>
          <w:p>
            <w:pPr>
              <w:pStyle w:val="TableParagraph"/>
              <w:rPr>
                <w:rFonts w:ascii="Times New Roman"/>
                <w:sz w:val="14"/>
              </w:rPr>
            </w:pPr>
          </w:p>
        </w:tc>
        <w:tc>
          <w:tcPr>
            <w:tcW w:w="589" w:type="dxa"/>
            <w:tcBorders>
              <w:bottom w:val="single" w:sz="6" w:space="0" w:color="000000"/>
            </w:tcBorders>
          </w:tcPr>
          <w:p>
            <w:pPr>
              <w:pStyle w:val="TableParagraph"/>
              <w:spacing w:line="164" w:lineRule="exact" w:before="21"/>
              <w:ind w:right="42"/>
              <w:jc w:val="right"/>
              <w:rPr>
                <w:sz w:val="15"/>
              </w:rPr>
            </w:pPr>
            <w:r>
              <w:rPr>
                <w:spacing w:val="-5"/>
                <w:w w:val="105"/>
                <w:sz w:val="15"/>
              </w:rPr>
              <w:t>147</w:t>
            </w:r>
          </w:p>
        </w:tc>
        <w:tc>
          <w:tcPr>
            <w:tcW w:w="157" w:type="dxa"/>
          </w:tcPr>
          <w:p>
            <w:pPr>
              <w:pStyle w:val="TableParagraph"/>
              <w:rPr>
                <w:rFonts w:ascii="Times New Roman"/>
                <w:sz w:val="14"/>
              </w:rPr>
            </w:pPr>
          </w:p>
        </w:tc>
        <w:tc>
          <w:tcPr>
            <w:tcW w:w="675" w:type="dxa"/>
            <w:tcBorders>
              <w:bottom w:val="single" w:sz="6" w:space="0" w:color="000000"/>
            </w:tcBorders>
          </w:tcPr>
          <w:p>
            <w:pPr>
              <w:pStyle w:val="TableParagraph"/>
              <w:spacing w:line="164" w:lineRule="exact" w:before="21"/>
              <w:ind w:right="45"/>
              <w:jc w:val="right"/>
              <w:rPr>
                <w:sz w:val="15"/>
              </w:rPr>
            </w:pPr>
            <w:r>
              <w:rPr>
                <w:spacing w:val="-5"/>
                <w:w w:val="105"/>
                <w:sz w:val="15"/>
              </w:rPr>
              <w:t>65%</w:t>
            </w:r>
          </w:p>
        </w:tc>
        <w:tc>
          <w:tcPr>
            <w:tcW w:w="157" w:type="dxa"/>
          </w:tcPr>
          <w:p>
            <w:pPr>
              <w:pStyle w:val="TableParagraph"/>
              <w:rPr>
                <w:rFonts w:ascii="Times New Roman"/>
                <w:sz w:val="14"/>
              </w:rPr>
            </w:pPr>
          </w:p>
        </w:tc>
        <w:tc>
          <w:tcPr>
            <w:tcW w:w="646" w:type="dxa"/>
            <w:tcBorders>
              <w:bottom w:val="single" w:sz="6" w:space="0" w:color="000000"/>
            </w:tcBorders>
          </w:tcPr>
          <w:p>
            <w:pPr>
              <w:pStyle w:val="TableParagraph"/>
              <w:spacing w:line="164" w:lineRule="exact" w:before="21"/>
              <w:ind w:right="41"/>
              <w:jc w:val="right"/>
              <w:rPr>
                <w:sz w:val="15"/>
              </w:rPr>
            </w:pPr>
            <w:r>
              <w:rPr>
                <w:spacing w:val="-4"/>
                <w:w w:val="105"/>
                <w:sz w:val="15"/>
              </w:rPr>
              <w:t>2.8%</w:t>
            </w:r>
          </w:p>
        </w:tc>
        <w:tc>
          <w:tcPr>
            <w:tcW w:w="157" w:type="dxa"/>
          </w:tcPr>
          <w:p>
            <w:pPr>
              <w:pStyle w:val="TableParagraph"/>
              <w:rPr>
                <w:rFonts w:ascii="Times New Roman"/>
                <w:sz w:val="14"/>
              </w:rPr>
            </w:pPr>
          </w:p>
        </w:tc>
        <w:tc>
          <w:tcPr>
            <w:tcW w:w="746" w:type="dxa"/>
            <w:tcBorders>
              <w:bottom w:val="single" w:sz="6" w:space="0" w:color="000000"/>
            </w:tcBorders>
          </w:tcPr>
          <w:p>
            <w:pPr>
              <w:pStyle w:val="TableParagraph"/>
              <w:spacing w:line="164" w:lineRule="exact" w:before="21"/>
              <w:ind w:right="38"/>
              <w:jc w:val="right"/>
              <w:rPr>
                <w:sz w:val="15"/>
              </w:rPr>
            </w:pPr>
            <w:r>
              <w:rPr>
                <w:spacing w:val="-2"/>
                <w:w w:val="105"/>
                <w:sz w:val="15"/>
              </w:rPr>
              <w:t>23.7%</w:t>
            </w:r>
          </w:p>
        </w:tc>
        <w:tc>
          <w:tcPr>
            <w:tcW w:w="157" w:type="dxa"/>
          </w:tcPr>
          <w:p>
            <w:pPr>
              <w:pStyle w:val="TableParagraph"/>
              <w:rPr>
                <w:rFonts w:ascii="Times New Roman"/>
                <w:sz w:val="14"/>
              </w:rPr>
            </w:pPr>
          </w:p>
        </w:tc>
        <w:tc>
          <w:tcPr>
            <w:tcW w:w="674" w:type="dxa"/>
            <w:tcBorders>
              <w:bottom w:val="single" w:sz="6" w:space="0" w:color="000000"/>
            </w:tcBorders>
          </w:tcPr>
          <w:p>
            <w:pPr>
              <w:pStyle w:val="TableParagraph"/>
              <w:spacing w:line="164" w:lineRule="exact" w:before="21"/>
              <w:ind w:right="35"/>
              <w:jc w:val="right"/>
              <w:rPr>
                <w:sz w:val="15"/>
              </w:rPr>
            </w:pPr>
            <w:r>
              <w:rPr>
                <w:spacing w:val="-4"/>
                <w:w w:val="105"/>
                <w:sz w:val="15"/>
              </w:rPr>
              <w:t>3.4%</w:t>
            </w:r>
          </w:p>
        </w:tc>
      </w:tr>
      <w:tr>
        <w:trPr>
          <w:trHeight w:val="191" w:hRule="atLeast"/>
        </w:trPr>
        <w:tc>
          <w:tcPr>
            <w:tcW w:w="1452" w:type="dxa"/>
            <w:tcBorders>
              <w:top w:val="single" w:sz="6" w:space="0" w:color="000000"/>
            </w:tcBorders>
          </w:tcPr>
          <w:p>
            <w:pPr>
              <w:pStyle w:val="TableParagraph"/>
              <w:spacing w:line="154" w:lineRule="exact" w:before="17"/>
              <w:ind w:left="43"/>
              <w:rPr>
                <w:rFonts w:ascii="Arial"/>
                <w:b/>
                <w:sz w:val="15"/>
              </w:rPr>
            </w:pPr>
            <w:r>
              <w:rPr>
                <w:rFonts w:ascii="Arial"/>
                <w:b/>
                <w:w w:val="105"/>
                <w:sz w:val="15"/>
              </w:rPr>
              <w:t>Total,</w:t>
            </w:r>
            <w:r>
              <w:rPr>
                <w:rFonts w:ascii="Arial"/>
                <w:b/>
                <w:spacing w:val="-1"/>
                <w:w w:val="105"/>
                <w:sz w:val="15"/>
              </w:rPr>
              <w:t> </w:t>
            </w:r>
            <w:r>
              <w:rPr>
                <w:rFonts w:ascii="Arial"/>
                <w:b/>
                <w:w w:val="105"/>
                <w:sz w:val="15"/>
              </w:rPr>
              <w:t>All </w:t>
            </w:r>
            <w:r>
              <w:rPr>
                <w:rFonts w:ascii="Arial"/>
                <w:b/>
                <w:spacing w:val="-2"/>
                <w:w w:val="105"/>
                <w:sz w:val="15"/>
              </w:rPr>
              <w:t>Sizes</w:t>
            </w:r>
          </w:p>
        </w:tc>
        <w:tc>
          <w:tcPr>
            <w:tcW w:w="158" w:type="dxa"/>
          </w:tcPr>
          <w:p>
            <w:pPr>
              <w:pStyle w:val="TableParagraph"/>
              <w:rPr>
                <w:rFonts w:ascii="Times New Roman"/>
                <w:sz w:val="12"/>
              </w:rPr>
            </w:pPr>
          </w:p>
        </w:tc>
        <w:tc>
          <w:tcPr>
            <w:tcW w:w="619" w:type="dxa"/>
            <w:tcBorders>
              <w:top w:val="single" w:sz="6" w:space="0" w:color="000000"/>
            </w:tcBorders>
          </w:tcPr>
          <w:p>
            <w:pPr>
              <w:pStyle w:val="TableParagraph"/>
              <w:spacing w:line="154" w:lineRule="exact" w:before="17"/>
              <w:ind w:right="40"/>
              <w:jc w:val="right"/>
              <w:rPr>
                <w:rFonts w:ascii="Arial"/>
                <w:b/>
                <w:sz w:val="15"/>
              </w:rPr>
            </w:pPr>
            <w:r>
              <w:rPr>
                <w:rFonts w:ascii="Arial"/>
                <w:b/>
                <w:spacing w:val="-2"/>
                <w:w w:val="105"/>
                <w:sz w:val="15"/>
              </w:rPr>
              <w:t>2,996</w:t>
            </w:r>
          </w:p>
        </w:tc>
        <w:tc>
          <w:tcPr>
            <w:tcW w:w="158" w:type="dxa"/>
          </w:tcPr>
          <w:p>
            <w:pPr>
              <w:pStyle w:val="TableParagraph"/>
              <w:rPr>
                <w:rFonts w:ascii="Times New Roman"/>
                <w:sz w:val="12"/>
              </w:rPr>
            </w:pPr>
          </w:p>
        </w:tc>
        <w:tc>
          <w:tcPr>
            <w:tcW w:w="604" w:type="dxa"/>
            <w:tcBorders>
              <w:top w:val="single" w:sz="6" w:space="0" w:color="000000"/>
            </w:tcBorders>
          </w:tcPr>
          <w:p>
            <w:pPr>
              <w:pStyle w:val="TableParagraph"/>
              <w:spacing w:line="154" w:lineRule="exact" w:before="17"/>
              <w:ind w:right="32"/>
              <w:jc w:val="right"/>
              <w:rPr>
                <w:rFonts w:ascii="Arial"/>
                <w:b/>
                <w:sz w:val="15"/>
              </w:rPr>
            </w:pPr>
            <w:r>
              <w:rPr>
                <w:rFonts w:ascii="Arial"/>
                <w:b/>
                <w:spacing w:val="-4"/>
                <w:w w:val="105"/>
                <w:sz w:val="15"/>
              </w:rPr>
              <w:t>100%</w:t>
            </w:r>
          </w:p>
        </w:tc>
        <w:tc>
          <w:tcPr>
            <w:tcW w:w="159" w:type="dxa"/>
          </w:tcPr>
          <w:p>
            <w:pPr>
              <w:pStyle w:val="TableParagraph"/>
              <w:rPr>
                <w:rFonts w:ascii="Times New Roman"/>
                <w:sz w:val="12"/>
              </w:rPr>
            </w:pPr>
          </w:p>
        </w:tc>
        <w:tc>
          <w:tcPr>
            <w:tcW w:w="604" w:type="dxa"/>
            <w:tcBorders>
              <w:top w:val="single" w:sz="6" w:space="0" w:color="000000"/>
            </w:tcBorders>
          </w:tcPr>
          <w:p>
            <w:pPr>
              <w:pStyle w:val="TableParagraph"/>
              <w:spacing w:line="154" w:lineRule="exact" w:before="17"/>
              <w:ind w:right="41"/>
              <w:jc w:val="right"/>
              <w:rPr>
                <w:rFonts w:ascii="Arial"/>
                <w:b/>
                <w:sz w:val="15"/>
              </w:rPr>
            </w:pPr>
            <w:r>
              <w:rPr>
                <w:rFonts w:ascii="Arial"/>
                <w:b/>
                <w:spacing w:val="-2"/>
                <w:w w:val="105"/>
                <w:sz w:val="15"/>
              </w:rPr>
              <w:t>9,376</w:t>
            </w:r>
          </w:p>
        </w:tc>
        <w:tc>
          <w:tcPr>
            <w:tcW w:w="158" w:type="dxa"/>
          </w:tcPr>
          <w:p>
            <w:pPr>
              <w:pStyle w:val="TableParagraph"/>
              <w:rPr>
                <w:rFonts w:ascii="Times New Roman"/>
                <w:sz w:val="12"/>
              </w:rPr>
            </w:pPr>
          </w:p>
        </w:tc>
        <w:tc>
          <w:tcPr>
            <w:tcW w:w="575" w:type="dxa"/>
            <w:tcBorders>
              <w:top w:val="single" w:sz="6" w:space="0" w:color="000000"/>
            </w:tcBorders>
          </w:tcPr>
          <w:p>
            <w:pPr>
              <w:pStyle w:val="TableParagraph"/>
              <w:spacing w:line="154" w:lineRule="exact" w:before="17"/>
              <w:ind w:right="33"/>
              <w:jc w:val="right"/>
              <w:rPr>
                <w:rFonts w:ascii="Arial"/>
                <w:b/>
                <w:sz w:val="15"/>
              </w:rPr>
            </w:pPr>
            <w:r>
              <w:rPr>
                <w:rFonts w:ascii="Arial"/>
                <w:b/>
                <w:spacing w:val="-4"/>
                <w:w w:val="105"/>
                <w:sz w:val="15"/>
              </w:rPr>
              <w:t>100%</w:t>
            </w:r>
          </w:p>
        </w:tc>
        <w:tc>
          <w:tcPr>
            <w:tcW w:w="158" w:type="dxa"/>
          </w:tcPr>
          <w:p>
            <w:pPr>
              <w:pStyle w:val="TableParagraph"/>
              <w:rPr>
                <w:rFonts w:ascii="Times New Roman"/>
                <w:sz w:val="12"/>
              </w:rPr>
            </w:pPr>
          </w:p>
        </w:tc>
        <w:tc>
          <w:tcPr>
            <w:tcW w:w="589" w:type="dxa"/>
            <w:tcBorders>
              <w:top w:val="single" w:sz="6" w:space="0" w:color="000000"/>
            </w:tcBorders>
          </w:tcPr>
          <w:p>
            <w:pPr>
              <w:pStyle w:val="TableParagraph"/>
              <w:spacing w:line="154" w:lineRule="exact" w:before="17"/>
              <w:ind w:right="42"/>
              <w:jc w:val="right"/>
              <w:rPr>
                <w:rFonts w:ascii="Arial"/>
                <w:b/>
                <w:sz w:val="15"/>
              </w:rPr>
            </w:pPr>
            <w:r>
              <w:rPr>
                <w:rFonts w:ascii="Arial"/>
                <w:b/>
                <w:spacing w:val="-5"/>
                <w:w w:val="105"/>
                <w:sz w:val="15"/>
              </w:rPr>
              <w:t>225</w:t>
            </w:r>
          </w:p>
        </w:tc>
        <w:tc>
          <w:tcPr>
            <w:tcW w:w="157" w:type="dxa"/>
          </w:tcPr>
          <w:p>
            <w:pPr>
              <w:pStyle w:val="TableParagraph"/>
              <w:rPr>
                <w:rFonts w:ascii="Times New Roman"/>
                <w:sz w:val="12"/>
              </w:rPr>
            </w:pPr>
          </w:p>
        </w:tc>
        <w:tc>
          <w:tcPr>
            <w:tcW w:w="675" w:type="dxa"/>
            <w:tcBorders>
              <w:top w:val="single" w:sz="6" w:space="0" w:color="000000"/>
            </w:tcBorders>
          </w:tcPr>
          <w:p>
            <w:pPr>
              <w:pStyle w:val="TableParagraph"/>
              <w:spacing w:line="154" w:lineRule="exact" w:before="17"/>
              <w:ind w:right="31"/>
              <w:jc w:val="right"/>
              <w:rPr>
                <w:rFonts w:ascii="Arial"/>
                <w:b/>
                <w:sz w:val="15"/>
              </w:rPr>
            </w:pPr>
            <w:r>
              <w:rPr>
                <w:rFonts w:ascii="Arial"/>
                <w:b/>
                <w:spacing w:val="-4"/>
                <w:w w:val="105"/>
                <w:sz w:val="15"/>
              </w:rPr>
              <w:t>100%</w:t>
            </w:r>
          </w:p>
        </w:tc>
        <w:tc>
          <w:tcPr>
            <w:tcW w:w="157" w:type="dxa"/>
          </w:tcPr>
          <w:p>
            <w:pPr>
              <w:pStyle w:val="TableParagraph"/>
              <w:rPr>
                <w:rFonts w:ascii="Times New Roman"/>
                <w:sz w:val="12"/>
              </w:rPr>
            </w:pPr>
          </w:p>
        </w:tc>
        <w:tc>
          <w:tcPr>
            <w:tcW w:w="646" w:type="dxa"/>
            <w:tcBorders>
              <w:top w:val="single" w:sz="6" w:space="0" w:color="000000"/>
            </w:tcBorders>
          </w:tcPr>
          <w:p>
            <w:pPr>
              <w:pStyle w:val="TableParagraph"/>
              <w:spacing w:line="154" w:lineRule="exact" w:before="17"/>
              <w:ind w:right="26"/>
              <w:jc w:val="right"/>
              <w:rPr>
                <w:rFonts w:ascii="Arial"/>
                <w:b/>
                <w:sz w:val="15"/>
              </w:rPr>
            </w:pPr>
            <w:r>
              <w:rPr>
                <w:rFonts w:ascii="Arial"/>
                <w:b/>
                <w:spacing w:val="-4"/>
                <w:w w:val="105"/>
                <w:sz w:val="15"/>
              </w:rPr>
              <w:t>2.4%</w:t>
            </w:r>
          </w:p>
        </w:tc>
        <w:tc>
          <w:tcPr>
            <w:tcW w:w="157" w:type="dxa"/>
          </w:tcPr>
          <w:p>
            <w:pPr>
              <w:pStyle w:val="TableParagraph"/>
              <w:rPr>
                <w:rFonts w:ascii="Times New Roman"/>
                <w:sz w:val="12"/>
              </w:rPr>
            </w:pPr>
          </w:p>
        </w:tc>
        <w:tc>
          <w:tcPr>
            <w:tcW w:w="746" w:type="dxa"/>
            <w:tcBorders>
              <w:top w:val="single" w:sz="6" w:space="0" w:color="000000"/>
            </w:tcBorders>
          </w:tcPr>
          <w:p>
            <w:pPr>
              <w:pStyle w:val="TableParagraph"/>
              <w:spacing w:line="154" w:lineRule="exact" w:before="17"/>
              <w:ind w:right="24"/>
              <w:jc w:val="right"/>
              <w:rPr>
                <w:rFonts w:ascii="Arial"/>
                <w:b/>
                <w:sz w:val="15"/>
              </w:rPr>
            </w:pPr>
            <w:r>
              <w:rPr>
                <w:rFonts w:ascii="Arial"/>
                <w:b/>
                <w:spacing w:val="-2"/>
                <w:w w:val="105"/>
                <w:sz w:val="15"/>
              </w:rPr>
              <w:t>29.8%</w:t>
            </w:r>
          </w:p>
        </w:tc>
        <w:tc>
          <w:tcPr>
            <w:tcW w:w="157" w:type="dxa"/>
          </w:tcPr>
          <w:p>
            <w:pPr>
              <w:pStyle w:val="TableParagraph"/>
              <w:rPr>
                <w:rFonts w:ascii="Times New Roman"/>
                <w:sz w:val="12"/>
              </w:rPr>
            </w:pPr>
          </w:p>
        </w:tc>
        <w:tc>
          <w:tcPr>
            <w:tcW w:w="674" w:type="dxa"/>
            <w:tcBorders>
              <w:top w:val="single" w:sz="6" w:space="0" w:color="000000"/>
            </w:tcBorders>
          </w:tcPr>
          <w:p>
            <w:pPr>
              <w:pStyle w:val="TableParagraph"/>
              <w:spacing w:line="154" w:lineRule="exact" w:before="17"/>
              <w:ind w:right="21"/>
              <w:jc w:val="right"/>
              <w:rPr>
                <w:rFonts w:ascii="Arial"/>
                <w:b/>
                <w:sz w:val="15"/>
              </w:rPr>
            </w:pPr>
            <w:r>
              <w:rPr>
                <w:rFonts w:ascii="Arial"/>
                <w:b/>
                <w:spacing w:val="-4"/>
                <w:w w:val="105"/>
                <w:sz w:val="15"/>
              </w:rPr>
              <w:t>3.4%</w:t>
            </w:r>
          </w:p>
        </w:tc>
      </w:tr>
    </w:tbl>
    <w:p>
      <w:pPr>
        <w:pStyle w:val="BodyText"/>
        <w:rPr>
          <w:rFonts w:ascii="Arial"/>
          <w:b/>
          <w:sz w:val="17"/>
        </w:rPr>
      </w:pPr>
      <w:r>
        <w:rPr>
          <w:rFonts w:ascii="Arial"/>
          <w:b/>
          <w:sz w:val="17"/>
        </w:rPr>
        <mc:AlternateContent>
          <mc:Choice Requires="wps">
            <w:drawing>
              <wp:anchor distT="0" distB="0" distL="0" distR="0" allowOverlap="1" layoutInCell="1" locked="0" behindDoc="1" simplePos="0" relativeHeight="487590912">
                <wp:simplePos x="0" y="0"/>
                <wp:positionH relativeFrom="page">
                  <wp:posOffset>1097279</wp:posOffset>
                </wp:positionH>
                <wp:positionV relativeFrom="paragraph">
                  <wp:posOffset>139671</wp:posOffset>
                </wp:positionV>
                <wp:extent cx="5577840" cy="9525"/>
                <wp:effectExtent l="0" t="0" r="0" b="0"/>
                <wp:wrapTopAndBottom/>
                <wp:docPr id="60" name="Group 60"/>
                <wp:cNvGraphicFramePr>
                  <a:graphicFrameLocks/>
                </wp:cNvGraphicFramePr>
                <a:graphic>
                  <a:graphicData uri="http://schemas.microsoft.com/office/word/2010/wordprocessingGroup">
                    <wpg:wgp>
                      <wpg:cNvPr id="60" name="Group 60"/>
                      <wpg:cNvGrpSpPr/>
                      <wpg:grpSpPr>
                        <a:xfrm>
                          <a:off x="0" y="0"/>
                          <a:ext cx="5577840" cy="9525"/>
                          <a:chExt cx="5577840" cy="9525"/>
                        </a:xfrm>
                      </wpg:grpSpPr>
                      <wps:wsp>
                        <wps:cNvPr id="61" name="Graphic 61"/>
                        <wps:cNvSpPr/>
                        <wps:spPr>
                          <a:xfrm>
                            <a:off x="4556" y="0"/>
                            <a:ext cx="5573395" cy="9525"/>
                          </a:xfrm>
                          <a:custGeom>
                            <a:avLst/>
                            <a:gdLst/>
                            <a:ahLst/>
                            <a:cxnLst/>
                            <a:rect l="l" t="t" r="r" b="b"/>
                            <a:pathLst>
                              <a:path w="5573395" h="9525">
                                <a:moveTo>
                                  <a:pt x="5573283" y="0"/>
                                </a:moveTo>
                                <a:lnTo>
                                  <a:pt x="0" y="0"/>
                                </a:lnTo>
                                <a:lnTo>
                                  <a:pt x="0" y="8995"/>
                                </a:lnTo>
                                <a:lnTo>
                                  <a:pt x="5573283" y="9061"/>
                                </a:lnTo>
                                <a:lnTo>
                                  <a:pt x="5573283"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0" y="0"/>
                            <a:ext cx="5577840" cy="9525"/>
                          </a:xfrm>
                          <a:custGeom>
                            <a:avLst/>
                            <a:gdLst/>
                            <a:ahLst/>
                            <a:cxnLst/>
                            <a:rect l="l" t="t" r="r" b="b"/>
                            <a:pathLst>
                              <a:path w="5577840" h="9525">
                                <a:moveTo>
                                  <a:pt x="5577840" y="0"/>
                                </a:moveTo>
                                <a:lnTo>
                                  <a:pt x="0" y="0"/>
                                </a:lnTo>
                                <a:lnTo>
                                  <a:pt x="0" y="8995"/>
                                </a:lnTo>
                                <a:lnTo>
                                  <a:pt x="5577840" y="9061"/>
                                </a:lnTo>
                                <a:lnTo>
                                  <a:pt x="55778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6.399994pt;margin-top:10.997748pt;width:439.2pt;height:.75pt;mso-position-horizontal-relative:page;mso-position-vertical-relative:paragraph;z-index:-15725568;mso-wrap-distance-left:0;mso-wrap-distance-right:0" id="docshapegroup50" coordorigin="1728,220" coordsize="8784,15">
                <v:rect style="position:absolute;left:1735;top:219;width:8777;height:15" id="docshape51" filled="true" fillcolor="#000000" stroked="false">
                  <v:fill type="solid"/>
                </v:rect>
                <v:rect style="position:absolute;left:1728;top:219;width:8784;height:15" id="docshape52" filled="true" fillcolor="#000000" stroked="false">
                  <v:fill type="solid"/>
                </v:rect>
                <w10:wrap type="topAndBottom"/>
              </v:group>
            </w:pict>
          </mc:Fallback>
        </mc:AlternateContent>
      </w:r>
    </w:p>
    <w:p>
      <w:pPr>
        <w:spacing w:before="1"/>
        <w:ind w:left="1008" w:right="0" w:firstLine="0"/>
        <w:jc w:val="left"/>
        <w:rPr>
          <w:rFonts w:ascii="Arial MT"/>
          <w:sz w:val="16"/>
        </w:rPr>
      </w:pPr>
      <w:r>
        <w:rPr>
          <w:rFonts w:ascii="Arial MT"/>
          <w:spacing w:val="-2"/>
          <w:sz w:val="16"/>
        </w:rPr>
        <w:t>Notes:</w:t>
      </w:r>
    </w:p>
    <w:p>
      <w:pPr>
        <w:pStyle w:val="ListParagraph"/>
        <w:numPr>
          <w:ilvl w:val="0"/>
          <w:numId w:val="2"/>
        </w:numPr>
        <w:tabs>
          <w:tab w:pos="1292" w:val="left" w:leader="none"/>
        </w:tabs>
        <w:spacing w:line="240" w:lineRule="auto" w:before="1" w:after="0"/>
        <w:ind w:left="1292" w:right="0" w:hanging="284"/>
        <w:jc w:val="left"/>
        <w:rPr>
          <w:sz w:val="16"/>
        </w:rPr>
      </w:pPr>
      <w:r>
        <w:rPr>
          <w:sz w:val="16"/>
        </w:rPr>
        <w:t>Includes</w:t>
      </w:r>
      <w:r>
        <w:rPr>
          <w:spacing w:val="-7"/>
          <w:sz w:val="16"/>
        </w:rPr>
        <w:t> </w:t>
      </w:r>
      <w:r>
        <w:rPr>
          <w:sz w:val="16"/>
        </w:rPr>
        <w:t>the</w:t>
      </w:r>
      <w:r>
        <w:rPr>
          <w:spacing w:val="-3"/>
          <w:sz w:val="16"/>
        </w:rPr>
        <w:t> </w:t>
      </w:r>
      <w:r>
        <w:rPr>
          <w:sz w:val="16"/>
        </w:rPr>
        <w:t>number</w:t>
      </w:r>
      <w:r>
        <w:rPr>
          <w:spacing w:val="-4"/>
          <w:sz w:val="16"/>
        </w:rPr>
        <w:t> </w:t>
      </w:r>
      <w:r>
        <w:rPr>
          <w:sz w:val="16"/>
        </w:rPr>
        <w:t>of</w:t>
      </w:r>
      <w:r>
        <w:rPr>
          <w:spacing w:val="-4"/>
          <w:sz w:val="16"/>
        </w:rPr>
        <w:t> </w:t>
      </w:r>
      <w:r>
        <w:rPr>
          <w:sz w:val="16"/>
        </w:rPr>
        <w:t>units,</w:t>
      </w:r>
      <w:r>
        <w:rPr>
          <w:spacing w:val="-7"/>
          <w:sz w:val="16"/>
        </w:rPr>
        <w:t> </w:t>
      </w:r>
      <w:r>
        <w:rPr>
          <w:sz w:val="16"/>
        </w:rPr>
        <w:t>by</w:t>
      </w:r>
      <w:r>
        <w:rPr>
          <w:spacing w:val="-1"/>
          <w:sz w:val="16"/>
        </w:rPr>
        <w:t> </w:t>
      </w:r>
      <w:r>
        <w:rPr>
          <w:sz w:val="16"/>
        </w:rPr>
        <w:t>unit</w:t>
      </w:r>
      <w:r>
        <w:rPr>
          <w:spacing w:val="-5"/>
          <w:sz w:val="16"/>
        </w:rPr>
        <w:t> </w:t>
      </w:r>
      <w:r>
        <w:rPr>
          <w:sz w:val="16"/>
        </w:rPr>
        <w:t>type,</w:t>
      </w:r>
      <w:r>
        <w:rPr>
          <w:spacing w:val="-4"/>
          <w:sz w:val="16"/>
        </w:rPr>
        <w:t> </w:t>
      </w:r>
      <w:r>
        <w:rPr>
          <w:sz w:val="16"/>
        </w:rPr>
        <w:t>reported</w:t>
      </w:r>
      <w:r>
        <w:rPr>
          <w:spacing w:val="-4"/>
          <w:sz w:val="16"/>
        </w:rPr>
        <w:t> </w:t>
      </w:r>
      <w:r>
        <w:rPr>
          <w:sz w:val="16"/>
        </w:rPr>
        <w:t>by</w:t>
      </w:r>
      <w:r>
        <w:rPr>
          <w:spacing w:val="-2"/>
          <w:sz w:val="16"/>
        </w:rPr>
        <w:t> </w:t>
      </w:r>
      <w:r>
        <w:rPr>
          <w:sz w:val="16"/>
        </w:rPr>
        <w:t>respondents</w:t>
      </w:r>
      <w:r>
        <w:rPr>
          <w:spacing w:val="-4"/>
          <w:sz w:val="16"/>
        </w:rPr>
        <w:t> </w:t>
      </w:r>
      <w:r>
        <w:rPr>
          <w:sz w:val="16"/>
        </w:rPr>
        <w:t>as</w:t>
      </w:r>
      <w:r>
        <w:rPr>
          <w:spacing w:val="-5"/>
          <w:sz w:val="16"/>
        </w:rPr>
        <w:t> </w:t>
      </w:r>
      <w:r>
        <w:rPr>
          <w:sz w:val="16"/>
        </w:rPr>
        <w:t>rented</w:t>
      </w:r>
      <w:r>
        <w:rPr>
          <w:spacing w:val="-3"/>
          <w:sz w:val="16"/>
        </w:rPr>
        <w:t> </w:t>
      </w:r>
      <w:r>
        <w:rPr>
          <w:sz w:val="16"/>
        </w:rPr>
        <w:t>on</w:t>
      </w:r>
      <w:r>
        <w:rPr>
          <w:spacing w:val="-4"/>
          <w:sz w:val="16"/>
        </w:rPr>
        <w:t> </w:t>
      </w:r>
      <w:r>
        <w:rPr>
          <w:sz w:val="16"/>
        </w:rPr>
        <w:t>a</w:t>
      </w:r>
      <w:r>
        <w:rPr>
          <w:spacing w:val="-6"/>
          <w:sz w:val="16"/>
        </w:rPr>
        <w:t> </w:t>
      </w:r>
      <w:r>
        <w:rPr>
          <w:sz w:val="16"/>
        </w:rPr>
        <w:t>per</w:t>
      </w:r>
      <w:r>
        <w:rPr>
          <w:spacing w:val="-3"/>
          <w:sz w:val="16"/>
        </w:rPr>
        <w:t> </w:t>
      </w:r>
      <w:r>
        <w:rPr>
          <w:sz w:val="16"/>
        </w:rPr>
        <w:t>bed</w:t>
      </w:r>
      <w:r>
        <w:rPr>
          <w:spacing w:val="-4"/>
          <w:sz w:val="16"/>
        </w:rPr>
        <w:t> </w:t>
      </w:r>
      <w:r>
        <w:rPr>
          <w:sz w:val="16"/>
        </w:rPr>
        <w:t>basis</w:t>
      </w:r>
      <w:r>
        <w:rPr>
          <w:spacing w:val="-3"/>
          <w:sz w:val="16"/>
        </w:rPr>
        <w:t> </w:t>
      </w:r>
      <w:r>
        <w:rPr>
          <w:sz w:val="16"/>
        </w:rPr>
        <w:t>(i.e.,</w:t>
      </w:r>
      <w:r>
        <w:rPr>
          <w:spacing w:val="-5"/>
          <w:sz w:val="16"/>
        </w:rPr>
        <w:t> </w:t>
      </w:r>
      <w:r>
        <w:rPr>
          <w:sz w:val="16"/>
        </w:rPr>
        <w:t>bed</w:t>
      </w:r>
      <w:r>
        <w:rPr>
          <w:spacing w:val="-3"/>
          <w:sz w:val="16"/>
        </w:rPr>
        <w:t> </w:t>
      </w:r>
      <w:r>
        <w:rPr>
          <w:spacing w:val="-2"/>
          <w:sz w:val="16"/>
        </w:rPr>
        <w:t>lease).</w:t>
      </w:r>
    </w:p>
    <w:p>
      <w:pPr>
        <w:pStyle w:val="ListParagraph"/>
        <w:numPr>
          <w:ilvl w:val="0"/>
          <w:numId w:val="2"/>
        </w:numPr>
        <w:tabs>
          <w:tab w:pos="1292" w:val="left" w:leader="none"/>
        </w:tabs>
        <w:spacing w:line="240" w:lineRule="auto" w:before="1" w:after="0"/>
        <w:ind w:left="1008" w:right="1360" w:firstLine="0"/>
        <w:jc w:val="left"/>
        <w:rPr>
          <w:sz w:val="16"/>
        </w:rPr>
      </w:pPr>
      <w:r>
        <w:rPr>
          <w:sz w:val="16"/>
        </w:rPr>
        <w:t>Includes</w:t>
      </w:r>
      <w:r>
        <w:rPr>
          <w:spacing w:val="-4"/>
          <w:sz w:val="16"/>
        </w:rPr>
        <w:t> </w:t>
      </w:r>
      <w:r>
        <w:rPr>
          <w:sz w:val="16"/>
        </w:rPr>
        <w:t>the</w:t>
      </w:r>
      <w:r>
        <w:rPr>
          <w:spacing w:val="-3"/>
          <w:sz w:val="16"/>
        </w:rPr>
        <w:t> </w:t>
      </w:r>
      <w:r>
        <w:rPr>
          <w:sz w:val="16"/>
        </w:rPr>
        <w:t>number</w:t>
      </w:r>
      <w:r>
        <w:rPr>
          <w:spacing w:val="-3"/>
          <w:sz w:val="16"/>
        </w:rPr>
        <w:t> </w:t>
      </w:r>
      <w:r>
        <w:rPr>
          <w:sz w:val="16"/>
        </w:rPr>
        <w:t>of</w:t>
      </w:r>
      <w:r>
        <w:rPr>
          <w:spacing w:val="-4"/>
          <w:sz w:val="16"/>
        </w:rPr>
        <w:t> </w:t>
      </w:r>
      <w:r>
        <w:rPr>
          <w:sz w:val="16"/>
        </w:rPr>
        <w:t>beds</w:t>
      </w:r>
      <w:r>
        <w:rPr>
          <w:spacing w:val="-4"/>
          <w:sz w:val="16"/>
        </w:rPr>
        <w:t> </w:t>
      </w:r>
      <w:r>
        <w:rPr>
          <w:sz w:val="16"/>
        </w:rPr>
        <w:t>located</w:t>
      </w:r>
      <w:r>
        <w:rPr>
          <w:spacing w:val="-3"/>
          <w:sz w:val="16"/>
        </w:rPr>
        <w:t> </w:t>
      </w:r>
      <w:r>
        <w:rPr>
          <w:sz w:val="16"/>
        </w:rPr>
        <w:t>within</w:t>
      </w:r>
      <w:r>
        <w:rPr>
          <w:spacing w:val="-3"/>
          <w:sz w:val="16"/>
        </w:rPr>
        <w:t> </w:t>
      </w:r>
      <w:r>
        <w:rPr>
          <w:sz w:val="16"/>
        </w:rPr>
        <w:t>bed-leased</w:t>
      </w:r>
      <w:r>
        <w:rPr>
          <w:spacing w:val="-3"/>
          <w:sz w:val="16"/>
        </w:rPr>
        <w:t> </w:t>
      </w:r>
      <w:r>
        <w:rPr>
          <w:sz w:val="16"/>
        </w:rPr>
        <w:t>units,</w:t>
      </w:r>
      <w:r>
        <w:rPr>
          <w:spacing w:val="-2"/>
          <w:sz w:val="16"/>
        </w:rPr>
        <w:t> </w:t>
      </w:r>
      <w:r>
        <w:rPr>
          <w:sz w:val="16"/>
        </w:rPr>
        <w:t>by</w:t>
      </w:r>
      <w:r>
        <w:rPr>
          <w:spacing w:val="-4"/>
          <w:sz w:val="16"/>
        </w:rPr>
        <w:t> </w:t>
      </w:r>
      <w:r>
        <w:rPr>
          <w:sz w:val="16"/>
        </w:rPr>
        <w:t>unit</w:t>
      </w:r>
      <w:r>
        <w:rPr>
          <w:spacing w:val="-1"/>
          <w:sz w:val="16"/>
        </w:rPr>
        <w:t> </w:t>
      </w:r>
      <w:r>
        <w:rPr>
          <w:sz w:val="16"/>
        </w:rPr>
        <w:t>type,</w:t>
      </w:r>
      <w:r>
        <w:rPr>
          <w:spacing w:val="-4"/>
          <w:sz w:val="16"/>
        </w:rPr>
        <w:t> </w:t>
      </w:r>
      <w:r>
        <w:rPr>
          <w:sz w:val="16"/>
        </w:rPr>
        <w:t>as</w:t>
      </w:r>
      <w:r>
        <w:rPr>
          <w:spacing w:val="-4"/>
          <w:sz w:val="16"/>
        </w:rPr>
        <w:t> </w:t>
      </w:r>
      <w:r>
        <w:rPr>
          <w:sz w:val="16"/>
        </w:rPr>
        <w:t>reported</w:t>
      </w:r>
      <w:r>
        <w:rPr>
          <w:spacing w:val="-3"/>
          <w:sz w:val="16"/>
        </w:rPr>
        <w:t> </w:t>
      </w:r>
      <w:r>
        <w:rPr>
          <w:sz w:val="16"/>
        </w:rPr>
        <w:t>by</w:t>
      </w:r>
      <w:r>
        <w:rPr>
          <w:spacing w:val="-4"/>
          <w:sz w:val="16"/>
        </w:rPr>
        <w:t> </w:t>
      </w:r>
      <w:r>
        <w:rPr>
          <w:sz w:val="16"/>
        </w:rPr>
        <w:t>survey</w:t>
      </w:r>
      <w:r>
        <w:rPr>
          <w:spacing w:val="-1"/>
          <w:sz w:val="16"/>
        </w:rPr>
        <w:t> </w:t>
      </w:r>
      <w:r>
        <w:rPr>
          <w:sz w:val="16"/>
        </w:rPr>
        <w:t>respondents.</w:t>
      </w:r>
      <w:r>
        <w:rPr>
          <w:spacing w:val="40"/>
          <w:sz w:val="16"/>
        </w:rPr>
        <w:t> </w:t>
      </w:r>
      <w:r>
        <w:rPr>
          <w:sz w:val="16"/>
        </w:rPr>
        <w:t>May exclude some beds in cases where the survey respondent reported bed-leased units but did not report the associated number of leased.</w:t>
      </w:r>
    </w:p>
    <w:p>
      <w:pPr>
        <w:pStyle w:val="ListParagraph"/>
        <w:numPr>
          <w:ilvl w:val="0"/>
          <w:numId w:val="2"/>
        </w:numPr>
        <w:tabs>
          <w:tab w:pos="1282" w:val="left" w:leader="none"/>
        </w:tabs>
        <w:spacing w:line="240" w:lineRule="auto" w:before="0" w:after="0"/>
        <w:ind w:left="1008" w:right="1478" w:firstLine="0"/>
        <w:jc w:val="left"/>
        <w:rPr>
          <w:sz w:val="16"/>
        </w:rPr>
      </w:pPr>
      <w:r>
        <w:rPr>
          <w:sz w:val="16"/>
        </w:rPr>
        <w:t>Includes the number of leasable beds reported as vacant, by unit type, as reported by survey respondents.</w:t>
      </w:r>
      <w:r>
        <w:rPr>
          <w:spacing w:val="40"/>
          <w:sz w:val="16"/>
        </w:rPr>
        <w:t> </w:t>
      </w:r>
      <w:r>
        <w:rPr>
          <w:sz w:val="16"/>
        </w:rPr>
        <w:t>May exclude</w:t>
      </w:r>
      <w:r>
        <w:rPr>
          <w:spacing w:val="-5"/>
          <w:sz w:val="16"/>
        </w:rPr>
        <w:t> </w:t>
      </w:r>
      <w:r>
        <w:rPr>
          <w:sz w:val="16"/>
        </w:rPr>
        <w:t>some</w:t>
      </w:r>
      <w:r>
        <w:rPr>
          <w:spacing w:val="-2"/>
          <w:sz w:val="16"/>
        </w:rPr>
        <w:t> </w:t>
      </w:r>
      <w:r>
        <w:rPr>
          <w:sz w:val="16"/>
        </w:rPr>
        <w:t>beds in</w:t>
      </w:r>
      <w:r>
        <w:rPr>
          <w:spacing w:val="-4"/>
          <w:sz w:val="16"/>
        </w:rPr>
        <w:t> </w:t>
      </w:r>
      <w:r>
        <w:rPr>
          <w:sz w:val="16"/>
        </w:rPr>
        <w:t>cases</w:t>
      </w:r>
      <w:r>
        <w:rPr>
          <w:spacing w:val="-3"/>
          <w:sz w:val="16"/>
        </w:rPr>
        <w:t> </w:t>
      </w:r>
      <w:r>
        <w:rPr>
          <w:sz w:val="16"/>
        </w:rPr>
        <w:t>where</w:t>
      </w:r>
      <w:r>
        <w:rPr>
          <w:spacing w:val="-2"/>
          <w:sz w:val="16"/>
        </w:rPr>
        <w:t> </w:t>
      </w:r>
      <w:r>
        <w:rPr>
          <w:sz w:val="16"/>
        </w:rPr>
        <w:t>the</w:t>
      </w:r>
      <w:r>
        <w:rPr>
          <w:spacing w:val="-4"/>
          <w:sz w:val="16"/>
        </w:rPr>
        <w:t> </w:t>
      </w:r>
      <w:r>
        <w:rPr>
          <w:sz w:val="16"/>
        </w:rPr>
        <w:t>survey respondent</w:t>
      </w:r>
      <w:r>
        <w:rPr>
          <w:spacing w:val="-1"/>
          <w:sz w:val="16"/>
        </w:rPr>
        <w:t> </w:t>
      </w:r>
      <w:r>
        <w:rPr>
          <w:sz w:val="16"/>
        </w:rPr>
        <w:t>reported</w:t>
      </w:r>
      <w:r>
        <w:rPr>
          <w:spacing w:val="-4"/>
          <w:sz w:val="16"/>
        </w:rPr>
        <w:t> </w:t>
      </w:r>
      <w:r>
        <w:rPr>
          <w:sz w:val="16"/>
        </w:rPr>
        <w:t>bed-leased</w:t>
      </w:r>
      <w:r>
        <w:rPr>
          <w:spacing w:val="-2"/>
          <w:sz w:val="16"/>
        </w:rPr>
        <w:t> </w:t>
      </w:r>
      <w:r>
        <w:rPr>
          <w:sz w:val="16"/>
        </w:rPr>
        <w:t>units but</w:t>
      </w:r>
      <w:r>
        <w:rPr>
          <w:spacing w:val="-1"/>
          <w:sz w:val="16"/>
        </w:rPr>
        <w:t> </w:t>
      </w:r>
      <w:r>
        <w:rPr>
          <w:sz w:val="16"/>
        </w:rPr>
        <w:t>did</w:t>
      </w:r>
      <w:r>
        <w:rPr>
          <w:spacing w:val="-4"/>
          <w:sz w:val="16"/>
        </w:rPr>
        <w:t> </w:t>
      </w:r>
      <w:r>
        <w:rPr>
          <w:sz w:val="16"/>
        </w:rPr>
        <w:t>not</w:t>
      </w:r>
      <w:r>
        <w:rPr>
          <w:spacing w:val="-1"/>
          <w:sz w:val="16"/>
        </w:rPr>
        <w:t> </w:t>
      </w:r>
      <w:r>
        <w:rPr>
          <w:sz w:val="16"/>
        </w:rPr>
        <w:t>report</w:t>
      </w:r>
      <w:r>
        <w:rPr>
          <w:spacing w:val="-3"/>
          <w:sz w:val="16"/>
        </w:rPr>
        <w:t> </w:t>
      </w:r>
      <w:r>
        <w:rPr>
          <w:sz w:val="16"/>
        </w:rPr>
        <w:t>the</w:t>
      </w:r>
      <w:r>
        <w:rPr>
          <w:spacing w:val="-2"/>
          <w:sz w:val="16"/>
        </w:rPr>
        <w:t> </w:t>
      </w:r>
      <w:r>
        <w:rPr>
          <w:sz w:val="16"/>
        </w:rPr>
        <w:t>associated number of leased or vacant beds.</w:t>
      </w:r>
    </w:p>
    <w:p>
      <w:pPr>
        <w:pStyle w:val="ListParagraph"/>
        <w:numPr>
          <w:ilvl w:val="0"/>
          <w:numId w:val="2"/>
        </w:numPr>
        <w:tabs>
          <w:tab w:pos="1292" w:val="left" w:leader="none"/>
        </w:tabs>
        <w:spacing w:line="240" w:lineRule="auto" w:before="0" w:after="0"/>
        <w:ind w:left="1008" w:right="1221" w:firstLine="0"/>
        <w:jc w:val="left"/>
        <w:rPr>
          <w:sz w:val="16"/>
        </w:rPr>
      </w:pPr>
      <w:r>
        <w:rPr>
          <w:sz w:val="16"/>
        </w:rPr>
        <w:t>The</w:t>
      </w:r>
      <w:r>
        <w:rPr>
          <w:spacing w:val="-5"/>
          <w:sz w:val="16"/>
        </w:rPr>
        <w:t> </w:t>
      </w:r>
      <w:r>
        <w:rPr>
          <w:sz w:val="16"/>
        </w:rPr>
        <w:t>vacancy</w:t>
      </w:r>
      <w:r>
        <w:rPr>
          <w:spacing w:val="-3"/>
          <w:sz w:val="16"/>
        </w:rPr>
        <w:t> </w:t>
      </w:r>
      <w:r>
        <w:rPr>
          <w:sz w:val="16"/>
        </w:rPr>
        <w:t>rate</w:t>
      </w:r>
      <w:r>
        <w:rPr>
          <w:spacing w:val="-5"/>
          <w:sz w:val="16"/>
        </w:rPr>
        <w:t> </w:t>
      </w:r>
      <w:r>
        <w:rPr>
          <w:sz w:val="16"/>
        </w:rPr>
        <w:t>for</w:t>
      </w:r>
      <w:r>
        <w:rPr>
          <w:spacing w:val="-2"/>
          <w:sz w:val="16"/>
        </w:rPr>
        <w:t> </w:t>
      </w:r>
      <w:r>
        <w:rPr>
          <w:sz w:val="16"/>
        </w:rPr>
        <w:t>bed</w:t>
      </w:r>
      <w:r>
        <w:rPr>
          <w:spacing w:val="-4"/>
          <w:sz w:val="16"/>
        </w:rPr>
        <w:t> </w:t>
      </w:r>
      <w:r>
        <w:rPr>
          <w:sz w:val="16"/>
        </w:rPr>
        <w:t>leases was</w:t>
      </w:r>
      <w:r>
        <w:rPr>
          <w:spacing w:val="-5"/>
          <w:sz w:val="16"/>
        </w:rPr>
        <w:t> </w:t>
      </w:r>
      <w:r>
        <w:rPr>
          <w:sz w:val="16"/>
        </w:rPr>
        <w:t>calculated</w:t>
      </w:r>
      <w:r>
        <w:rPr>
          <w:spacing w:val="-2"/>
          <w:sz w:val="16"/>
        </w:rPr>
        <w:t> </w:t>
      </w:r>
      <w:r>
        <w:rPr>
          <w:sz w:val="16"/>
        </w:rPr>
        <w:t>based</w:t>
      </w:r>
      <w:r>
        <w:rPr>
          <w:spacing w:val="-2"/>
          <w:sz w:val="16"/>
        </w:rPr>
        <w:t> </w:t>
      </w:r>
      <w:r>
        <w:rPr>
          <w:sz w:val="16"/>
        </w:rPr>
        <w:t>on</w:t>
      </w:r>
      <w:r>
        <w:rPr>
          <w:spacing w:val="-4"/>
          <w:sz w:val="16"/>
        </w:rPr>
        <w:t> </w:t>
      </w:r>
      <w:r>
        <w:rPr>
          <w:sz w:val="16"/>
        </w:rPr>
        <w:t>the</w:t>
      </w:r>
      <w:r>
        <w:rPr>
          <w:spacing w:val="-2"/>
          <w:sz w:val="16"/>
        </w:rPr>
        <w:t> </w:t>
      </w:r>
      <w:r>
        <w:rPr>
          <w:sz w:val="16"/>
        </w:rPr>
        <w:t>number</w:t>
      </w:r>
      <w:r>
        <w:rPr>
          <w:spacing w:val="-2"/>
          <w:sz w:val="16"/>
        </w:rPr>
        <w:t> </w:t>
      </w:r>
      <w:r>
        <w:rPr>
          <w:sz w:val="16"/>
        </w:rPr>
        <w:t>of</w:t>
      </w:r>
      <w:r>
        <w:rPr>
          <w:spacing w:val="-3"/>
          <w:sz w:val="16"/>
        </w:rPr>
        <w:t> </w:t>
      </w:r>
      <w:r>
        <w:rPr>
          <w:sz w:val="16"/>
        </w:rPr>
        <w:t>leased</w:t>
      </w:r>
      <w:r>
        <w:rPr>
          <w:spacing w:val="-2"/>
          <w:sz w:val="16"/>
        </w:rPr>
        <w:t> </w:t>
      </w:r>
      <w:r>
        <w:rPr>
          <w:sz w:val="16"/>
        </w:rPr>
        <w:t>and</w:t>
      </w:r>
      <w:r>
        <w:rPr>
          <w:spacing w:val="-5"/>
          <w:sz w:val="16"/>
        </w:rPr>
        <w:t> </w:t>
      </w:r>
      <w:r>
        <w:rPr>
          <w:sz w:val="16"/>
        </w:rPr>
        <w:t>vacant</w:t>
      </w:r>
      <w:r>
        <w:rPr>
          <w:spacing w:val="-3"/>
          <w:sz w:val="16"/>
        </w:rPr>
        <w:t> </w:t>
      </w:r>
      <w:r>
        <w:rPr>
          <w:sz w:val="16"/>
        </w:rPr>
        <w:t>beds</w:t>
      </w:r>
      <w:r>
        <w:rPr>
          <w:spacing w:val="-3"/>
          <w:sz w:val="16"/>
        </w:rPr>
        <w:t> </w:t>
      </w:r>
      <w:r>
        <w:rPr>
          <w:sz w:val="16"/>
        </w:rPr>
        <w:t>only,</w:t>
      </w:r>
      <w:r>
        <w:rPr>
          <w:spacing w:val="-3"/>
          <w:sz w:val="16"/>
        </w:rPr>
        <w:t> </w:t>
      </w:r>
      <w:r>
        <w:rPr>
          <w:sz w:val="16"/>
        </w:rPr>
        <w:t>as</w:t>
      </w:r>
      <w:r>
        <w:rPr>
          <w:spacing w:val="-3"/>
          <w:sz w:val="16"/>
        </w:rPr>
        <w:t> </w:t>
      </w:r>
      <w:r>
        <w:rPr>
          <w:sz w:val="16"/>
        </w:rPr>
        <w:t>reported</w:t>
      </w:r>
      <w:r>
        <w:rPr>
          <w:spacing w:val="-2"/>
          <w:sz w:val="16"/>
        </w:rPr>
        <w:t> </w:t>
      </w:r>
      <w:r>
        <w:rPr>
          <w:sz w:val="16"/>
        </w:rPr>
        <w:t>by survey respondents.</w:t>
      </w:r>
    </w:p>
    <w:p>
      <w:pPr>
        <w:spacing w:before="182"/>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3"/>
          <w:sz w:val="16"/>
        </w:rPr>
        <w:t> </w:t>
      </w:r>
      <w:r>
        <w:rPr>
          <w:rFonts w:ascii="Arial MT"/>
          <w:spacing w:val="-2"/>
          <w:sz w:val="16"/>
        </w:rPr>
        <w:t>2021.</w:t>
      </w:r>
    </w:p>
    <w:p>
      <w:pPr>
        <w:spacing w:after="0"/>
        <w:jc w:val="left"/>
        <w:rPr>
          <w:rFonts w:ascii="Arial MT"/>
          <w:sz w:val="16"/>
        </w:rPr>
        <w:sectPr>
          <w:pgSz w:w="12240" w:h="15840"/>
          <w:pgMar w:header="0" w:footer="502" w:top="1700" w:bottom="700" w:left="720" w:right="720"/>
        </w:sectPr>
      </w:pPr>
    </w:p>
    <w:p>
      <w:pPr>
        <w:spacing w:before="78"/>
        <w:ind w:left="1008" w:right="0" w:firstLine="0"/>
        <w:jc w:val="both"/>
        <w:rPr>
          <w:i/>
          <w:sz w:val="22"/>
        </w:rPr>
      </w:pPr>
      <w:r>
        <w:rPr>
          <w:i/>
          <w:sz w:val="22"/>
        </w:rPr>
        <w:t>Blended</w:t>
      </w:r>
      <w:r>
        <w:rPr>
          <w:i/>
          <w:spacing w:val="65"/>
          <w:sz w:val="22"/>
        </w:rPr>
        <w:t> </w:t>
      </w:r>
      <w:r>
        <w:rPr>
          <w:i/>
          <w:sz w:val="22"/>
        </w:rPr>
        <w:t>Vacancy</w:t>
      </w:r>
      <w:r>
        <w:rPr>
          <w:i/>
          <w:spacing w:val="68"/>
          <w:sz w:val="22"/>
        </w:rPr>
        <w:t> </w:t>
      </w:r>
      <w:r>
        <w:rPr>
          <w:i/>
          <w:spacing w:val="-4"/>
          <w:sz w:val="22"/>
        </w:rPr>
        <w:t>Rate</w:t>
      </w:r>
    </w:p>
    <w:p>
      <w:pPr>
        <w:pStyle w:val="BodyText"/>
        <w:spacing w:line="288" w:lineRule="auto" w:before="51"/>
        <w:ind w:left="1008" w:right="1230"/>
        <w:jc w:val="both"/>
      </w:pPr>
      <w:r>
        <w:rPr/>
        <w:t>To</w:t>
      </w:r>
      <w:r>
        <w:rPr>
          <w:spacing w:val="-11"/>
        </w:rPr>
        <w:t> </w:t>
      </w:r>
      <w:r>
        <w:rPr/>
        <w:t>estimate</w:t>
      </w:r>
      <w:r>
        <w:rPr>
          <w:spacing w:val="-12"/>
        </w:rPr>
        <w:t> </w:t>
      </w:r>
      <w:r>
        <w:rPr/>
        <w:t>a</w:t>
      </w:r>
      <w:r>
        <w:rPr>
          <w:spacing w:val="-10"/>
        </w:rPr>
        <w:t> </w:t>
      </w:r>
      <w:r>
        <w:rPr/>
        <w:t>community-wide</w:t>
      </w:r>
      <w:r>
        <w:rPr>
          <w:spacing w:val="-11"/>
        </w:rPr>
        <w:t> </w:t>
      </w:r>
      <w:r>
        <w:rPr/>
        <w:t>vacancy</w:t>
      </w:r>
      <w:r>
        <w:rPr>
          <w:spacing w:val="-11"/>
        </w:rPr>
        <w:t> </w:t>
      </w:r>
      <w:r>
        <w:rPr/>
        <w:t>rate</w:t>
      </w:r>
      <w:r>
        <w:rPr>
          <w:spacing w:val="-12"/>
        </w:rPr>
        <w:t> </w:t>
      </w:r>
      <w:r>
        <w:rPr/>
        <w:t>for</w:t>
      </w:r>
      <w:r>
        <w:rPr>
          <w:spacing w:val="-13"/>
        </w:rPr>
        <w:t> </w:t>
      </w:r>
      <w:r>
        <w:rPr/>
        <w:t>all</w:t>
      </w:r>
      <w:r>
        <w:rPr>
          <w:spacing w:val="-11"/>
        </w:rPr>
        <w:t> </w:t>
      </w:r>
      <w:r>
        <w:rPr/>
        <w:t>lease</w:t>
      </w:r>
      <w:r>
        <w:rPr>
          <w:spacing w:val="-11"/>
        </w:rPr>
        <w:t> </w:t>
      </w:r>
      <w:r>
        <w:rPr/>
        <w:t>types,</w:t>
      </w:r>
      <w:r>
        <w:rPr>
          <w:spacing w:val="-12"/>
        </w:rPr>
        <w:t> </w:t>
      </w:r>
      <w:r>
        <w:rPr/>
        <w:t>BAE</w:t>
      </w:r>
      <w:r>
        <w:rPr>
          <w:spacing w:val="-11"/>
        </w:rPr>
        <w:t> </w:t>
      </w:r>
      <w:r>
        <w:rPr/>
        <w:t>combined</w:t>
      </w:r>
      <w:r>
        <w:rPr>
          <w:spacing w:val="-12"/>
        </w:rPr>
        <w:t> </w:t>
      </w:r>
      <w:r>
        <w:rPr/>
        <w:t>the</w:t>
      </w:r>
      <w:r>
        <w:rPr>
          <w:spacing w:val="-11"/>
        </w:rPr>
        <w:t> </w:t>
      </w:r>
      <w:r>
        <w:rPr/>
        <w:t>unit</w:t>
      </w:r>
      <w:r>
        <w:rPr>
          <w:spacing w:val="-11"/>
        </w:rPr>
        <w:t> </w:t>
      </w:r>
      <w:r>
        <w:rPr/>
        <w:t>lease and</w:t>
      </w:r>
      <w:r>
        <w:rPr>
          <w:spacing w:val="-10"/>
        </w:rPr>
        <w:t> </w:t>
      </w:r>
      <w:r>
        <w:rPr/>
        <w:t>bed</w:t>
      </w:r>
      <w:r>
        <w:rPr>
          <w:spacing w:val="-8"/>
        </w:rPr>
        <w:t> </w:t>
      </w:r>
      <w:r>
        <w:rPr/>
        <w:t>lease</w:t>
      </w:r>
      <w:r>
        <w:rPr>
          <w:spacing w:val="-9"/>
        </w:rPr>
        <w:t> </w:t>
      </w:r>
      <w:r>
        <w:rPr/>
        <w:t>vacancy</w:t>
      </w:r>
      <w:r>
        <w:rPr>
          <w:spacing w:val="-9"/>
        </w:rPr>
        <w:t> </w:t>
      </w:r>
      <w:r>
        <w:rPr/>
        <w:t>rates,</w:t>
      </w:r>
      <w:r>
        <w:rPr>
          <w:spacing w:val="-9"/>
        </w:rPr>
        <w:t> </w:t>
      </w:r>
      <w:r>
        <w:rPr/>
        <w:t>to</w:t>
      </w:r>
      <w:r>
        <w:rPr>
          <w:spacing w:val="-9"/>
        </w:rPr>
        <w:t> </w:t>
      </w:r>
      <w:r>
        <w:rPr/>
        <w:t>generate</w:t>
      </w:r>
      <w:r>
        <w:rPr>
          <w:spacing w:val="-11"/>
        </w:rPr>
        <w:t> </w:t>
      </w:r>
      <w:r>
        <w:rPr/>
        <w:t>a</w:t>
      </w:r>
      <w:r>
        <w:rPr>
          <w:spacing w:val="-9"/>
        </w:rPr>
        <w:t> </w:t>
      </w:r>
      <w:r>
        <w:rPr/>
        <w:t>combined,</w:t>
      </w:r>
      <w:r>
        <w:rPr>
          <w:spacing w:val="-9"/>
        </w:rPr>
        <w:t> </w:t>
      </w:r>
      <w:r>
        <w:rPr/>
        <w:t>or</w:t>
      </w:r>
      <w:r>
        <w:rPr>
          <w:spacing w:val="-9"/>
        </w:rPr>
        <w:t> </w:t>
      </w:r>
      <w:r>
        <w:rPr/>
        <w:t>“blended,”</w:t>
      </w:r>
      <w:r>
        <w:rPr>
          <w:spacing w:val="-10"/>
        </w:rPr>
        <w:t> </w:t>
      </w:r>
      <w:r>
        <w:rPr/>
        <w:t>vacancy</w:t>
      </w:r>
      <w:r>
        <w:rPr>
          <w:spacing w:val="-9"/>
        </w:rPr>
        <w:t> </w:t>
      </w:r>
      <w:r>
        <w:rPr/>
        <w:t>estimate.</w:t>
      </w:r>
      <w:r>
        <w:rPr>
          <w:position w:val="5"/>
          <w:sz w:val="14"/>
        </w:rPr>
        <w:t>4</w:t>
      </w:r>
      <w:r>
        <w:rPr>
          <w:spacing w:val="58"/>
          <w:position w:val="5"/>
          <w:sz w:val="14"/>
        </w:rPr>
        <w:t> </w:t>
      </w:r>
      <w:r>
        <w:rPr/>
        <w:t>The results of the blended vacancy rate calculation for the 2021 survey are shown in Table 3.</w:t>
      </w:r>
    </w:p>
    <w:p>
      <w:pPr>
        <w:pStyle w:val="BodyText"/>
        <w:spacing w:line="288" w:lineRule="auto" w:before="2"/>
        <w:ind w:left="1008" w:right="1001"/>
      </w:pPr>
      <w:r>
        <w:rPr/>
        <w:t>Given that unit-leased</w:t>
      </w:r>
      <w:r>
        <w:rPr>
          <w:spacing w:val="-1"/>
        </w:rPr>
        <w:t> </w:t>
      </w:r>
      <w:r>
        <w:rPr/>
        <w:t>apartments account for 70 percent of the reported</w:t>
      </w:r>
      <w:r>
        <w:rPr>
          <w:spacing w:val="-1"/>
        </w:rPr>
        <w:t> </w:t>
      </w:r>
      <w:r>
        <w:rPr/>
        <w:t>market-rate rental inventory,</w:t>
      </w:r>
      <w:r>
        <w:rPr>
          <w:spacing w:val="-11"/>
        </w:rPr>
        <w:t> </w:t>
      </w:r>
      <w:r>
        <w:rPr/>
        <w:t>the</w:t>
      </w:r>
      <w:r>
        <w:rPr>
          <w:spacing w:val="-11"/>
        </w:rPr>
        <w:t> </w:t>
      </w:r>
      <w:r>
        <w:rPr/>
        <w:t>blended</w:t>
      </w:r>
      <w:r>
        <w:rPr>
          <w:spacing w:val="-11"/>
        </w:rPr>
        <w:t> </w:t>
      </w:r>
      <w:r>
        <w:rPr/>
        <w:t>vacancy</w:t>
      </w:r>
      <w:r>
        <w:rPr>
          <w:spacing w:val="-11"/>
        </w:rPr>
        <w:t> </w:t>
      </w:r>
      <w:r>
        <w:rPr/>
        <w:t>rate</w:t>
      </w:r>
      <w:r>
        <w:rPr>
          <w:spacing w:val="-11"/>
        </w:rPr>
        <w:t> </w:t>
      </w:r>
      <w:r>
        <w:rPr/>
        <w:t>aligns</w:t>
      </w:r>
      <w:r>
        <w:rPr>
          <w:spacing w:val="-11"/>
        </w:rPr>
        <w:t> </w:t>
      </w:r>
      <w:r>
        <w:rPr/>
        <w:t>more</w:t>
      </w:r>
      <w:r>
        <w:rPr>
          <w:spacing w:val="-11"/>
        </w:rPr>
        <w:t> </w:t>
      </w:r>
      <w:r>
        <w:rPr/>
        <w:t>closely</w:t>
      </w:r>
      <w:r>
        <w:rPr>
          <w:spacing w:val="-11"/>
        </w:rPr>
        <w:t> </w:t>
      </w:r>
      <w:r>
        <w:rPr/>
        <w:t>with</w:t>
      </w:r>
      <w:r>
        <w:rPr>
          <w:spacing w:val="-11"/>
        </w:rPr>
        <w:t> </w:t>
      </w:r>
      <w:r>
        <w:rPr/>
        <w:t>the</w:t>
      </w:r>
      <w:r>
        <w:rPr>
          <w:spacing w:val="-13"/>
        </w:rPr>
        <w:t> </w:t>
      </w:r>
      <w:r>
        <w:rPr/>
        <w:t>unit</w:t>
      </w:r>
      <w:r>
        <w:rPr>
          <w:spacing w:val="-10"/>
        </w:rPr>
        <w:t> </w:t>
      </w:r>
      <w:r>
        <w:rPr/>
        <w:t>lease</w:t>
      </w:r>
      <w:r>
        <w:rPr>
          <w:spacing w:val="-11"/>
        </w:rPr>
        <w:t> </w:t>
      </w:r>
      <w:r>
        <w:rPr/>
        <w:t>vacancy</w:t>
      </w:r>
      <w:r>
        <w:rPr>
          <w:spacing w:val="-11"/>
        </w:rPr>
        <w:t> </w:t>
      </w:r>
      <w:r>
        <w:rPr/>
        <w:t>rate,</w:t>
      </w:r>
      <w:r>
        <w:rPr>
          <w:spacing w:val="-11"/>
        </w:rPr>
        <w:t> </w:t>
      </w:r>
      <w:r>
        <w:rPr/>
        <w:t>but</w:t>
      </w:r>
      <w:r>
        <w:rPr>
          <w:spacing w:val="-12"/>
        </w:rPr>
        <w:t> </w:t>
      </w:r>
      <w:r>
        <w:rPr/>
        <w:t>is drawn</w:t>
      </w:r>
      <w:r>
        <w:rPr>
          <w:spacing w:val="-1"/>
        </w:rPr>
        <w:t> </w:t>
      </w:r>
      <w:r>
        <w:rPr/>
        <w:t>upward</w:t>
      </w:r>
      <w:r>
        <w:rPr>
          <w:spacing w:val="-1"/>
        </w:rPr>
        <w:t> </w:t>
      </w:r>
      <w:r>
        <w:rPr/>
        <w:t>due to the addition</w:t>
      </w:r>
      <w:r>
        <w:rPr>
          <w:spacing w:val="-1"/>
        </w:rPr>
        <w:t> </w:t>
      </w:r>
      <w:r>
        <w:rPr/>
        <w:t>of the slightly higher bed lease vacancy rate.</w:t>
      </w:r>
      <w:r>
        <w:rPr>
          <w:spacing w:val="40"/>
        </w:rPr>
        <w:t> </w:t>
      </w:r>
      <w:r>
        <w:rPr/>
        <w:t>The blended vacancy</w:t>
      </w:r>
      <w:r>
        <w:rPr>
          <w:spacing w:val="-9"/>
        </w:rPr>
        <w:t> </w:t>
      </w:r>
      <w:r>
        <w:rPr/>
        <w:t>rate</w:t>
      </w:r>
      <w:r>
        <w:rPr>
          <w:spacing w:val="-11"/>
        </w:rPr>
        <w:t> </w:t>
      </w:r>
      <w:r>
        <w:rPr/>
        <w:t>for</w:t>
      </w:r>
      <w:r>
        <w:rPr>
          <w:spacing w:val="-9"/>
        </w:rPr>
        <w:t> </w:t>
      </w:r>
      <w:r>
        <w:rPr/>
        <w:t>all</w:t>
      </w:r>
      <w:r>
        <w:rPr>
          <w:spacing w:val="-9"/>
        </w:rPr>
        <w:t> </w:t>
      </w:r>
      <w:r>
        <w:rPr/>
        <w:t>rental</w:t>
      </w:r>
      <w:r>
        <w:rPr>
          <w:spacing w:val="-12"/>
        </w:rPr>
        <w:t> </w:t>
      </w:r>
      <w:r>
        <w:rPr/>
        <w:t>units</w:t>
      </w:r>
      <w:r>
        <w:rPr>
          <w:spacing w:val="-8"/>
        </w:rPr>
        <w:t> </w:t>
      </w:r>
      <w:r>
        <w:rPr/>
        <w:t>is</w:t>
      </w:r>
      <w:r>
        <w:rPr>
          <w:spacing w:val="-11"/>
        </w:rPr>
        <w:t> </w:t>
      </w:r>
      <w:r>
        <w:rPr/>
        <w:t>1.4</w:t>
      </w:r>
      <w:r>
        <w:rPr>
          <w:spacing w:val="-9"/>
        </w:rPr>
        <w:t> </w:t>
      </w:r>
      <w:r>
        <w:rPr/>
        <w:t>percent.</w:t>
      </w:r>
      <w:r>
        <w:rPr>
          <w:spacing w:val="36"/>
        </w:rPr>
        <w:t> </w:t>
      </w:r>
      <w:r>
        <w:rPr/>
        <w:t>This</w:t>
      </w:r>
      <w:r>
        <w:rPr>
          <w:spacing w:val="-11"/>
        </w:rPr>
        <w:t> </w:t>
      </w:r>
      <w:r>
        <w:rPr/>
        <w:t>vacancy</w:t>
      </w:r>
      <w:r>
        <w:rPr>
          <w:spacing w:val="-9"/>
        </w:rPr>
        <w:t> </w:t>
      </w:r>
      <w:r>
        <w:rPr/>
        <w:t>rate</w:t>
      </w:r>
      <w:r>
        <w:rPr>
          <w:spacing w:val="-9"/>
        </w:rPr>
        <w:t> </w:t>
      </w:r>
      <w:r>
        <w:rPr/>
        <w:t>is</w:t>
      </w:r>
      <w:r>
        <w:rPr>
          <w:spacing w:val="-7"/>
        </w:rPr>
        <w:t> </w:t>
      </w:r>
      <w:r>
        <w:rPr/>
        <w:t>significantly</w:t>
      </w:r>
      <w:r>
        <w:rPr>
          <w:spacing w:val="-8"/>
        </w:rPr>
        <w:t> </w:t>
      </w:r>
      <w:r>
        <w:rPr/>
        <w:t>lower</w:t>
      </w:r>
      <w:r>
        <w:rPr>
          <w:spacing w:val="-10"/>
        </w:rPr>
        <w:t> </w:t>
      </w:r>
      <w:r>
        <w:rPr/>
        <w:t>than</w:t>
      </w:r>
      <w:r>
        <w:rPr>
          <w:spacing w:val="-9"/>
        </w:rPr>
        <w:t> </w:t>
      </w:r>
      <w:r>
        <w:rPr/>
        <w:t>the 2020 blended vacancy rate of 12.2 percent, but is comparable to the historical blended vacancy rates recorded prior to the pandemic of roughly 1.0 percent.</w:t>
      </w:r>
    </w:p>
    <w:p>
      <w:pPr>
        <w:pStyle w:val="BodyText"/>
        <w:spacing w:before="55"/>
      </w:pPr>
    </w:p>
    <w:p>
      <w:pPr>
        <w:tabs>
          <w:tab w:pos="9791" w:val="left" w:leader="none"/>
        </w:tabs>
        <w:spacing w:before="0"/>
        <w:ind w:left="1008" w:right="0" w:firstLine="0"/>
        <w:jc w:val="both"/>
        <w:rPr>
          <w:i/>
          <w:sz w:val="22"/>
        </w:rPr>
      </w:pPr>
      <w:r>
        <w:rPr>
          <w:i/>
          <w:sz w:val="22"/>
          <w:u w:val="single"/>
        </w:rPr>
        <w:t>Table</w:t>
      </w:r>
      <w:r>
        <w:rPr>
          <w:i/>
          <w:spacing w:val="-6"/>
          <w:sz w:val="22"/>
          <w:u w:val="single"/>
        </w:rPr>
        <w:t> </w:t>
      </w:r>
      <w:r>
        <w:rPr>
          <w:i/>
          <w:sz w:val="22"/>
          <w:u w:val="single"/>
        </w:rPr>
        <w:t>3:</w:t>
      </w:r>
      <w:r>
        <w:rPr>
          <w:i/>
          <w:spacing w:val="45"/>
          <w:sz w:val="22"/>
          <w:u w:val="single"/>
        </w:rPr>
        <w:t> </w:t>
      </w:r>
      <w:r>
        <w:rPr>
          <w:i/>
          <w:sz w:val="22"/>
          <w:u w:val="single"/>
        </w:rPr>
        <w:t>Blended</w:t>
      </w:r>
      <w:r>
        <w:rPr>
          <w:i/>
          <w:spacing w:val="-6"/>
          <w:sz w:val="22"/>
          <w:u w:val="single"/>
        </w:rPr>
        <w:t> </w:t>
      </w:r>
      <w:r>
        <w:rPr>
          <w:i/>
          <w:sz w:val="22"/>
          <w:u w:val="single"/>
        </w:rPr>
        <w:t>Vacancy</w:t>
      </w:r>
      <w:r>
        <w:rPr>
          <w:i/>
          <w:spacing w:val="-5"/>
          <w:sz w:val="22"/>
          <w:u w:val="single"/>
        </w:rPr>
        <w:t> </w:t>
      </w:r>
      <w:r>
        <w:rPr>
          <w:i/>
          <w:sz w:val="22"/>
          <w:u w:val="single"/>
        </w:rPr>
        <w:t>Rate</w:t>
      </w:r>
      <w:r>
        <w:rPr>
          <w:i/>
          <w:spacing w:val="-5"/>
          <w:sz w:val="22"/>
          <w:u w:val="single"/>
        </w:rPr>
        <w:t> </w:t>
      </w:r>
      <w:r>
        <w:rPr>
          <w:i/>
          <w:spacing w:val="-2"/>
          <w:sz w:val="22"/>
          <w:u w:val="single"/>
        </w:rPr>
        <w:t>Summary</w:t>
      </w:r>
      <w:r>
        <w:rPr>
          <w:i/>
          <w:sz w:val="22"/>
          <w:u w:val="single"/>
        </w:rPr>
        <w:tab/>
      </w:r>
    </w:p>
    <w:p>
      <w:pPr>
        <w:pStyle w:val="BodyText"/>
        <w:spacing w:before="59"/>
        <w:rPr>
          <w:i/>
          <w:sz w:val="16"/>
        </w:rPr>
      </w:pPr>
    </w:p>
    <w:p>
      <w:pPr>
        <w:spacing w:before="1" w:after="17"/>
        <w:ind w:left="3265" w:right="0" w:firstLine="0"/>
        <w:jc w:val="left"/>
        <w:rPr>
          <w:rFonts w:ascii="Arial"/>
          <w:b/>
          <w:sz w:val="16"/>
        </w:rPr>
      </w:pPr>
      <w:r>
        <w:rPr>
          <w:rFonts w:ascii="Arial"/>
          <w:b/>
          <w:spacing w:val="-2"/>
          <w:sz w:val="16"/>
        </w:rPr>
        <w:t>2021</w:t>
      </w:r>
      <w:r>
        <w:rPr>
          <w:rFonts w:ascii="Arial"/>
          <w:b/>
          <w:spacing w:val="-4"/>
          <w:sz w:val="16"/>
        </w:rPr>
        <w:t> </w:t>
      </w:r>
      <w:r>
        <w:rPr>
          <w:rFonts w:ascii="Arial"/>
          <w:b/>
          <w:spacing w:val="-2"/>
          <w:sz w:val="16"/>
        </w:rPr>
        <w:t>Vacancy</w:t>
      </w:r>
      <w:r>
        <w:rPr>
          <w:rFonts w:ascii="Arial"/>
          <w:b/>
          <w:spacing w:val="-3"/>
          <w:sz w:val="16"/>
        </w:rPr>
        <w:t> </w:t>
      </w:r>
      <w:r>
        <w:rPr>
          <w:rFonts w:ascii="Arial"/>
          <w:b/>
          <w:spacing w:val="-4"/>
          <w:sz w:val="16"/>
        </w:rPr>
        <w:t>Rate</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3"/>
        <w:gridCol w:w="115"/>
        <w:gridCol w:w="796"/>
        <w:gridCol w:w="159"/>
        <w:gridCol w:w="795"/>
        <w:gridCol w:w="159"/>
        <w:gridCol w:w="926"/>
        <w:gridCol w:w="159"/>
        <w:gridCol w:w="1476"/>
        <w:gridCol w:w="159"/>
        <w:gridCol w:w="1418"/>
      </w:tblGrid>
      <w:tr>
        <w:trPr>
          <w:trHeight w:val="420" w:hRule="atLeast"/>
        </w:trPr>
        <w:tc>
          <w:tcPr>
            <w:tcW w:w="1433" w:type="dxa"/>
            <w:tcBorders>
              <w:bottom w:val="single" w:sz="6" w:space="0" w:color="000000"/>
            </w:tcBorders>
          </w:tcPr>
          <w:p>
            <w:pPr>
              <w:pStyle w:val="TableParagraph"/>
              <w:spacing w:before="42"/>
              <w:rPr>
                <w:rFonts w:ascii="Arial"/>
                <w:b/>
                <w:sz w:val="16"/>
              </w:rPr>
            </w:pPr>
          </w:p>
          <w:p>
            <w:pPr>
              <w:pStyle w:val="TableParagraph"/>
              <w:spacing w:line="173" w:lineRule="exact"/>
              <w:ind w:left="43"/>
              <w:rPr>
                <w:rFonts w:ascii="Arial"/>
                <w:b/>
                <w:sz w:val="16"/>
              </w:rPr>
            </w:pPr>
            <w:r>
              <w:rPr>
                <w:rFonts w:ascii="Arial"/>
                <w:b/>
                <w:spacing w:val="-2"/>
                <w:sz w:val="16"/>
              </w:rPr>
              <w:t>Unit</w:t>
            </w:r>
            <w:r>
              <w:rPr>
                <w:rFonts w:ascii="Arial"/>
                <w:b/>
                <w:spacing w:val="-7"/>
                <w:sz w:val="16"/>
              </w:rPr>
              <w:t> </w:t>
            </w:r>
            <w:r>
              <w:rPr>
                <w:rFonts w:ascii="Arial"/>
                <w:b/>
                <w:spacing w:val="-4"/>
                <w:sz w:val="16"/>
              </w:rPr>
              <w:t>Size</w:t>
            </w:r>
          </w:p>
        </w:tc>
        <w:tc>
          <w:tcPr>
            <w:tcW w:w="115" w:type="dxa"/>
          </w:tcPr>
          <w:p>
            <w:pPr>
              <w:pStyle w:val="TableParagraph"/>
              <w:rPr>
                <w:rFonts w:ascii="Times New Roman"/>
                <w:sz w:val="20"/>
              </w:rPr>
            </w:pPr>
          </w:p>
        </w:tc>
        <w:tc>
          <w:tcPr>
            <w:tcW w:w="796" w:type="dxa"/>
            <w:tcBorders>
              <w:top w:val="single" w:sz="6" w:space="0" w:color="000000"/>
              <w:bottom w:val="single" w:sz="6" w:space="0" w:color="000000"/>
            </w:tcBorders>
          </w:tcPr>
          <w:p>
            <w:pPr>
              <w:pStyle w:val="TableParagraph"/>
              <w:spacing w:before="9"/>
              <w:ind w:left="19" w:right="4"/>
              <w:jc w:val="center"/>
              <w:rPr>
                <w:sz w:val="16"/>
              </w:rPr>
            </w:pPr>
            <w:r>
              <w:rPr>
                <w:spacing w:val="-4"/>
                <w:sz w:val="16"/>
              </w:rPr>
              <w:t>Unit</w:t>
            </w:r>
          </w:p>
          <w:p>
            <w:pPr>
              <w:pStyle w:val="TableParagraph"/>
              <w:spacing w:line="173" w:lineRule="exact" w:before="33"/>
              <w:ind w:left="15" w:right="19"/>
              <w:jc w:val="center"/>
              <w:rPr>
                <w:sz w:val="16"/>
              </w:rPr>
            </w:pPr>
            <w:r>
              <w:rPr>
                <w:spacing w:val="-2"/>
                <w:sz w:val="16"/>
              </w:rPr>
              <w:t>Lease </w:t>
            </w:r>
            <w:r>
              <w:rPr>
                <w:spacing w:val="-5"/>
                <w:sz w:val="16"/>
              </w:rPr>
              <w:t>(a)</w:t>
            </w:r>
          </w:p>
        </w:tc>
        <w:tc>
          <w:tcPr>
            <w:tcW w:w="159" w:type="dxa"/>
            <w:tcBorders>
              <w:top w:val="single" w:sz="6" w:space="0" w:color="000000"/>
            </w:tcBorders>
          </w:tcPr>
          <w:p>
            <w:pPr>
              <w:pStyle w:val="TableParagraph"/>
              <w:rPr>
                <w:rFonts w:ascii="Times New Roman"/>
                <w:sz w:val="20"/>
              </w:rPr>
            </w:pPr>
          </w:p>
        </w:tc>
        <w:tc>
          <w:tcPr>
            <w:tcW w:w="795" w:type="dxa"/>
            <w:tcBorders>
              <w:top w:val="single" w:sz="6" w:space="0" w:color="000000"/>
              <w:bottom w:val="single" w:sz="6" w:space="0" w:color="000000"/>
            </w:tcBorders>
          </w:tcPr>
          <w:p>
            <w:pPr>
              <w:pStyle w:val="TableParagraph"/>
              <w:spacing w:before="9"/>
              <w:ind w:left="5" w:right="2"/>
              <w:jc w:val="center"/>
              <w:rPr>
                <w:sz w:val="16"/>
              </w:rPr>
            </w:pPr>
            <w:r>
              <w:rPr>
                <w:spacing w:val="-5"/>
                <w:sz w:val="16"/>
              </w:rPr>
              <w:t>Bed</w:t>
            </w:r>
          </w:p>
          <w:p>
            <w:pPr>
              <w:pStyle w:val="TableParagraph"/>
              <w:spacing w:line="173" w:lineRule="exact" w:before="33"/>
              <w:ind w:left="3" w:right="5"/>
              <w:jc w:val="center"/>
              <w:rPr>
                <w:sz w:val="16"/>
              </w:rPr>
            </w:pPr>
            <w:r>
              <w:rPr>
                <w:spacing w:val="-2"/>
                <w:sz w:val="16"/>
              </w:rPr>
              <w:t>Lease </w:t>
            </w:r>
            <w:r>
              <w:rPr>
                <w:spacing w:val="-5"/>
                <w:sz w:val="16"/>
              </w:rPr>
              <w:t>(b)</w:t>
            </w:r>
          </w:p>
        </w:tc>
        <w:tc>
          <w:tcPr>
            <w:tcW w:w="159" w:type="dxa"/>
            <w:tcBorders>
              <w:top w:val="single" w:sz="6" w:space="0" w:color="000000"/>
            </w:tcBorders>
          </w:tcPr>
          <w:p>
            <w:pPr>
              <w:pStyle w:val="TableParagraph"/>
              <w:rPr>
                <w:rFonts w:ascii="Times New Roman"/>
                <w:sz w:val="20"/>
              </w:rPr>
            </w:pPr>
          </w:p>
        </w:tc>
        <w:tc>
          <w:tcPr>
            <w:tcW w:w="926" w:type="dxa"/>
            <w:tcBorders>
              <w:top w:val="single" w:sz="6" w:space="0" w:color="000000"/>
              <w:bottom w:val="single" w:sz="6" w:space="0" w:color="000000"/>
            </w:tcBorders>
          </w:tcPr>
          <w:p>
            <w:pPr>
              <w:pStyle w:val="TableParagraph"/>
              <w:spacing w:before="42"/>
              <w:rPr>
                <w:rFonts w:ascii="Arial"/>
                <w:b/>
                <w:sz w:val="16"/>
              </w:rPr>
            </w:pPr>
          </w:p>
          <w:p>
            <w:pPr>
              <w:pStyle w:val="TableParagraph"/>
              <w:spacing w:line="173" w:lineRule="exact"/>
              <w:ind w:right="60"/>
              <w:jc w:val="right"/>
              <w:rPr>
                <w:sz w:val="16"/>
              </w:rPr>
            </w:pPr>
            <w:r>
              <w:rPr>
                <w:spacing w:val="-5"/>
                <w:sz w:val="16"/>
              </w:rPr>
              <w:t>Blended</w:t>
            </w:r>
            <w:r>
              <w:rPr>
                <w:sz w:val="16"/>
              </w:rPr>
              <w:t> </w:t>
            </w:r>
            <w:r>
              <w:rPr>
                <w:spacing w:val="-5"/>
                <w:sz w:val="16"/>
              </w:rPr>
              <w:t>(c)</w:t>
            </w:r>
          </w:p>
        </w:tc>
        <w:tc>
          <w:tcPr>
            <w:tcW w:w="159" w:type="dxa"/>
          </w:tcPr>
          <w:p>
            <w:pPr>
              <w:pStyle w:val="TableParagraph"/>
              <w:rPr>
                <w:rFonts w:ascii="Times New Roman"/>
                <w:sz w:val="20"/>
              </w:rPr>
            </w:pPr>
          </w:p>
        </w:tc>
        <w:tc>
          <w:tcPr>
            <w:tcW w:w="1476" w:type="dxa"/>
            <w:tcBorders>
              <w:bottom w:val="single" w:sz="6" w:space="0" w:color="000000"/>
            </w:tcBorders>
          </w:tcPr>
          <w:p>
            <w:pPr>
              <w:pStyle w:val="TableParagraph"/>
              <w:spacing w:before="9"/>
              <w:ind w:left="10" w:right="10"/>
              <w:jc w:val="center"/>
              <w:rPr>
                <w:rFonts w:ascii="Arial"/>
                <w:b/>
                <w:sz w:val="16"/>
              </w:rPr>
            </w:pPr>
            <w:r>
              <w:rPr>
                <w:rFonts w:ascii="Arial"/>
                <w:b/>
                <w:spacing w:val="-2"/>
                <w:sz w:val="16"/>
              </w:rPr>
              <w:t>2020</w:t>
            </w:r>
            <w:r>
              <w:rPr>
                <w:rFonts w:ascii="Arial"/>
                <w:b/>
                <w:spacing w:val="-9"/>
                <w:sz w:val="16"/>
              </w:rPr>
              <w:t> </w:t>
            </w:r>
            <w:r>
              <w:rPr>
                <w:rFonts w:ascii="Arial"/>
                <w:b/>
                <w:spacing w:val="-2"/>
                <w:sz w:val="16"/>
              </w:rPr>
              <w:t>Blended</w:t>
            </w:r>
          </w:p>
          <w:p>
            <w:pPr>
              <w:pStyle w:val="TableParagraph"/>
              <w:spacing w:line="173" w:lineRule="exact" w:before="33"/>
              <w:ind w:left="10"/>
              <w:jc w:val="center"/>
              <w:rPr>
                <w:rFonts w:ascii="Arial"/>
                <w:b/>
                <w:sz w:val="16"/>
              </w:rPr>
            </w:pPr>
            <w:r>
              <w:rPr>
                <w:rFonts w:ascii="Arial"/>
                <w:b/>
                <w:sz w:val="16"/>
              </w:rPr>
              <w:t>Vacancy</w:t>
            </w:r>
            <w:r>
              <w:rPr>
                <w:rFonts w:ascii="Arial"/>
                <w:b/>
                <w:spacing w:val="-12"/>
                <w:sz w:val="16"/>
              </w:rPr>
              <w:t> </w:t>
            </w:r>
            <w:r>
              <w:rPr>
                <w:rFonts w:ascii="Arial"/>
                <w:b/>
                <w:sz w:val="16"/>
              </w:rPr>
              <w:t>Rate</w:t>
            </w:r>
            <w:r>
              <w:rPr>
                <w:rFonts w:ascii="Arial"/>
                <w:b/>
                <w:spacing w:val="-6"/>
                <w:sz w:val="16"/>
              </w:rPr>
              <w:t> </w:t>
            </w:r>
            <w:r>
              <w:rPr>
                <w:rFonts w:ascii="Arial"/>
                <w:b/>
                <w:spacing w:val="-5"/>
                <w:sz w:val="16"/>
              </w:rPr>
              <w:t>(c)</w:t>
            </w:r>
          </w:p>
        </w:tc>
        <w:tc>
          <w:tcPr>
            <w:tcW w:w="159" w:type="dxa"/>
          </w:tcPr>
          <w:p>
            <w:pPr>
              <w:pStyle w:val="TableParagraph"/>
              <w:rPr>
                <w:rFonts w:ascii="Times New Roman"/>
                <w:sz w:val="20"/>
              </w:rPr>
            </w:pPr>
          </w:p>
        </w:tc>
        <w:tc>
          <w:tcPr>
            <w:tcW w:w="1418" w:type="dxa"/>
            <w:tcBorders>
              <w:bottom w:val="single" w:sz="6" w:space="0" w:color="000000"/>
            </w:tcBorders>
          </w:tcPr>
          <w:p>
            <w:pPr>
              <w:pStyle w:val="TableParagraph"/>
              <w:spacing w:before="9"/>
              <w:ind w:left="10" w:right="11"/>
              <w:jc w:val="center"/>
              <w:rPr>
                <w:rFonts w:ascii="Arial"/>
                <w:b/>
                <w:sz w:val="16"/>
              </w:rPr>
            </w:pPr>
            <w:r>
              <w:rPr>
                <w:rFonts w:ascii="Arial"/>
                <w:b/>
                <w:spacing w:val="-2"/>
                <w:sz w:val="16"/>
              </w:rPr>
              <w:t>2019</w:t>
            </w:r>
            <w:r>
              <w:rPr>
                <w:rFonts w:ascii="Arial"/>
                <w:b/>
                <w:spacing w:val="-9"/>
                <w:sz w:val="16"/>
              </w:rPr>
              <w:t> </w:t>
            </w:r>
            <w:r>
              <w:rPr>
                <w:rFonts w:ascii="Arial"/>
                <w:b/>
                <w:spacing w:val="-2"/>
                <w:sz w:val="16"/>
              </w:rPr>
              <w:t>Blended</w:t>
            </w:r>
          </w:p>
          <w:p>
            <w:pPr>
              <w:pStyle w:val="TableParagraph"/>
              <w:spacing w:line="173" w:lineRule="exact" w:before="33"/>
              <w:ind w:left="11" w:right="1"/>
              <w:jc w:val="center"/>
              <w:rPr>
                <w:rFonts w:ascii="Arial"/>
                <w:b/>
                <w:sz w:val="16"/>
              </w:rPr>
            </w:pPr>
            <w:r>
              <w:rPr>
                <w:rFonts w:ascii="Arial"/>
                <w:b/>
                <w:sz w:val="16"/>
              </w:rPr>
              <w:t>Vacancy</w:t>
            </w:r>
            <w:r>
              <w:rPr>
                <w:rFonts w:ascii="Arial"/>
                <w:b/>
                <w:spacing w:val="-12"/>
                <w:sz w:val="16"/>
              </w:rPr>
              <w:t> </w:t>
            </w:r>
            <w:r>
              <w:rPr>
                <w:rFonts w:ascii="Arial"/>
                <w:b/>
                <w:sz w:val="16"/>
              </w:rPr>
              <w:t>Rate</w:t>
            </w:r>
            <w:r>
              <w:rPr>
                <w:rFonts w:ascii="Arial"/>
                <w:b/>
                <w:spacing w:val="-6"/>
                <w:sz w:val="16"/>
              </w:rPr>
              <w:t> </w:t>
            </w:r>
            <w:r>
              <w:rPr>
                <w:rFonts w:ascii="Arial"/>
                <w:b/>
                <w:spacing w:val="-5"/>
                <w:sz w:val="16"/>
              </w:rPr>
              <w:t>(c)</w:t>
            </w:r>
          </w:p>
        </w:tc>
      </w:tr>
      <w:tr>
        <w:trPr>
          <w:trHeight w:val="212" w:hRule="atLeast"/>
        </w:trPr>
        <w:tc>
          <w:tcPr>
            <w:tcW w:w="1433" w:type="dxa"/>
            <w:tcBorders>
              <w:top w:val="single" w:sz="6" w:space="0" w:color="000000"/>
            </w:tcBorders>
          </w:tcPr>
          <w:p>
            <w:pPr>
              <w:pStyle w:val="TableParagraph"/>
              <w:spacing w:line="184" w:lineRule="exact" w:before="9"/>
              <w:ind w:left="43" w:right="-15"/>
              <w:rPr>
                <w:sz w:val="16"/>
              </w:rPr>
            </w:pPr>
            <w:r>
              <w:rPr>
                <w:spacing w:val="-2"/>
                <w:sz w:val="16"/>
              </w:rPr>
              <w:t>Studio</w:t>
            </w:r>
            <w:r>
              <w:rPr>
                <w:spacing w:val="-10"/>
                <w:sz w:val="16"/>
              </w:rPr>
              <w:t> </w:t>
            </w:r>
            <w:r>
              <w:rPr>
                <w:spacing w:val="-2"/>
                <w:sz w:val="16"/>
              </w:rPr>
              <w:t>&amp;</w:t>
            </w:r>
            <w:r>
              <w:rPr>
                <w:spacing w:val="-9"/>
                <w:sz w:val="16"/>
              </w:rPr>
              <w:t> </w:t>
            </w:r>
            <w:r>
              <w:rPr>
                <w:spacing w:val="-2"/>
                <w:sz w:val="16"/>
              </w:rPr>
              <w:t>1</w:t>
            </w:r>
            <w:r>
              <w:rPr>
                <w:spacing w:val="-8"/>
                <w:sz w:val="16"/>
              </w:rPr>
              <w:t> </w:t>
            </w:r>
            <w:r>
              <w:rPr>
                <w:spacing w:val="-2"/>
                <w:sz w:val="16"/>
              </w:rPr>
              <w:t>Bedroom</w:t>
            </w:r>
          </w:p>
        </w:tc>
        <w:tc>
          <w:tcPr>
            <w:tcW w:w="115" w:type="dxa"/>
          </w:tcPr>
          <w:p>
            <w:pPr>
              <w:pStyle w:val="TableParagraph"/>
              <w:rPr>
                <w:rFonts w:ascii="Times New Roman"/>
                <w:sz w:val="14"/>
              </w:rPr>
            </w:pPr>
          </w:p>
        </w:tc>
        <w:tc>
          <w:tcPr>
            <w:tcW w:w="796" w:type="dxa"/>
            <w:tcBorders>
              <w:top w:val="single" w:sz="6" w:space="0" w:color="000000"/>
            </w:tcBorders>
          </w:tcPr>
          <w:p>
            <w:pPr>
              <w:pStyle w:val="TableParagraph"/>
              <w:spacing w:line="184" w:lineRule="exact" w:before="9"/>
              <w:ind w:right="43"/>
              <w:jc w:val="right"/>
              <w:rPr>
                <w:sz w:val="16"/>
              </w:rPr>
            </w:pPr>
            <w:r>
              <w:rPr>
                <w:spacing w:val="-4"/>
                <w:sz w:val="16"/>
              </w:rPr>
              <w:t>0.1%</w:t>
            </w:r>
          </w:p>
        </w:tc>
        <w:tc>
          <w:tcPr>
            <w:tcW w:w="159" w:type="dxa"/>
          </w:tcPr>
          <w:p>
            <w:pPr>
              <w:pStyle w:val="TableParagraph"/>
              <w:rPr>
                <w:rFonts w:ascii="Times New Roman"/>
                <w:sz w:val="14"/>
              </w:rPr>
            </w:pPr>
          </w:p>
        </w:tc>
        <w:tc>
          <w:tcPr>
            <w:tcW w:w="795" w:type="dxa"/>
            <w:tcBorders>
              <w:top w:val="single" w:sz="6" w:space="0" w:color="000000"/>
            </w:tcBorders>
          </w:tcPr>
          <w:p>
            <w:pPr>
              <w:pStyle w:val="TableParagraph"/>
              <w:spacing w:line="184" w:lineRule="exact" w:before="9"/>
              <w:ind w:right="43"/>
              <w:jc w:val="right"/>
              <w:rPr>
                <w:sz w:val="16"/>
              </w:rPr>
            </w:pPr>
            <w:r>
              <w:rPr>
                <w:spacing w:val="-4"/>
                <w:sz w:val="16"/>
              </w:rPr>
              <w:t>1.3%</w:t>
            </w:r>
          </w:p>
        </w:tc>
        <w:tc>
          <w:tcPr>
            <w:tcW w:w="159" w:type="dxa"/>
          </w:tcPr>
          <w:p>
            <w:pPr>
              <w:pStyle w:val="TableParagraph"/>
              <w:rPr>
                <w:rFonts w:ascii="Times New Roman"/>
                <w:sz w:val="14"/>
              </w:rPr>
            </w:pPr>
          </w:p>
        </w:tc>
        <w:tc>
          <w:tcPr>
            <w:tcW w:w="926" w:type="dxa"/>
            <w:tcBorders>
              <w:top w:val="single" w:sz="6" w:space="0" w:color="000000"/>
            </w:tcBorders>
          </w:tcPr>
          <w:p>
            <w:pPr>
              <w:pStyle w:val="TableParagraph"/>
              <w:spacing w:line="184" w:lineRule="exact" w:before="9"/>
              <w:ind w:right="42"/>
              <w:jc w:val="right"/>
              <w:rPr>
                <w:sz w:val="16"/>
              </w:rPr>
            </w:pPr>
            <w:r>
              <w:rPr>
                <w:spacing w:val="-4"/>
                <w:sz w:val="16"/>
              </w:rPr>
              <w:t>0.4%</w:t>
            </w:r>
          </w:p>
        </w:tc>
        <w:tc>
          <w:tcPr>
            <w:tcW w:w="159" w:type="dxa"/>
          </w:tcPr>
          <w:p>
            <w:pPr>
              <w:pStyle w:val="TableParagraph"/>
              <w:rPr>
                <w:rFonts w:ascii="Times New Roman"/>
                <w:sz w:val="14"/>
              </w:rPr>
            </w:pPr>
          </w:p>
        </w:tc>
        <w:tc>
          <w:tcPr>
            <w:tcW w:w="1476" w:type="dxa"/>
            <w:tcBorders>
              <w:top w:val="single" w:sz="6" w:space="0" w:color="000000"/>
            </w:tcBorders>
          </w:tcPr>
          <w:p>
            <w:pPr>
              <w:pStyle w:val="TableParagraph"/>
              <w:spacing w:line="184" w:lineRule="exact" w:before="9"/>
              <w:ind w:right="42"/>
              <w:jc w:val="right"/>
              <w:rPr>
                <w:sz w:val="16"/>
              </w:rPr>
            </w:pPr>
            <w:r>
              <w:rPr>
                <w:spacing w:val="-4"/>
                <w:sz w:val="16"/>
              </w:rPr>
              <w:t>5.7%</w:t>
            </w:r>
          </w:p>
        </w:tc>
        <w:tc>
          <w:tcPr>
            <w:tcW w:w="159" w:type="dxa"/>
          </w:tcPr>
          <w:p>
            <w:pPr>
              <w:pStyle w:val="TableParagraph"/>
              <w:rPr>
                <w:rFonts w:ascii="Times New Roman"/>
                <w:sz w:val="14"/>
              </w:rPr>
            </w:pPr>
          </w:p>
        </w:tc>
        <w:tc>
          <w:tcPr>
            <w:tcW w:w="1418" w:type="dxa"/>
            <w:tcBorders>
              <w:top w:val="single" w:sz="6" w:space="0" w:color="000000"/>
            </w:tcBorders>
          </w:tcPr>
          <w:p>
            <w:pPr>
              <w:pStyle w:val="TableParagraph"/>
              <w:spacing w:line="184" w:lineRule="exact" w:before="9"/>
              <w:ind w:right="41"/>
              <w:jc w:val="right"/>
              <w:rPr>
                <w:sz w:val="16"/>
              </w:rPr>
            </w:pPr>
            <w:r>
              <w:rPr>
                <w:spacing w:val="-4"/>
                <w:sz w:val="16"/>
              </w:rPr>
              <w:t>1.3%</w:t>
            </w:r>
          </w:p>
        </w:tc>
      </w:tr>
      <w:tr>
        <w:trPr>
          <w:trHeight w:val="217" w:hRule="atLeast"/>
        </w:trPr>
        <w:tc>
          <w:tcPr>
            <w:tcW w:w="1433" w:type="dxa"/>
          </w:tcPr>
          <w:p>
            <w:pPr>
              <w:pStyle w:val="TableParagraph"/>
              <w:spacing w:line="184" w:lineRule="exact" w:before="14"/>
              <w:ind w:left="43"/>
              <w:rPr>
                <w:sz w:val="16"/>
              </w:rPr>
            </w:pPr>
            <w:r>
              <w:rPr>
                <w:sz w:val="16"/>
              </w:rPr>
              <w:t>2</w:t>
            </w:r>
            <w:r>
              <w:rPr>
                <w:spacing w:val="-5"/>
                <w:sz w:val="16"/>
              </w:rPr>
              <w:t> </w:t>
            </w:r>
            <w:r>
              <w:rPr>
                <w:spacing w:val="-2"/>
                <w:sz w:val="16"/>
              </w:rPr>
              <w:t>Bedroom</w:t>
            </w:r>
          </w:p>
        </w:tc>
        <w:tc>
          <w:tcPr>
            <w:tcW w:w="115" w:type="dxa"/>
          </w:tcPr>
          <w:p>
            <w:pPr>
              <w:pStyle w:val="TableParagraph"/>
              <w:rPr>
                <w:rFonts w:ascii="Times New Roman"/>
                <w:sz w:val="14"/>
              </w:rPr>
            </w:pPr>
          </w:p>
        </w:tc>
        <w:tc>
          <w:tcPr>
            <w:tcW w:w="796" w:type="dxa"/>
          </w:tcPr>
          <w:p>
            <w:pPr>
              <w:pStyle w:val="TableParagraph"/>
              <w:spacing w:line="184" w:lineRule="exact" w:before="14"/>
              <w:ind w:right="43"/>
              <w:jc w:val="right"/>
              <w:rPr>
                <w:sz w:val="16"/>
              </w:rPr>
            </w:pPr>
            <w:r>
              <w:rPr>
                <w:spacing w:val="-4"/>
                <w:sz w:val="16"/>
              </w:rPr>
              <w:t>0.5%</w:t>
            </w:r>
          </w:p>
        </w:tc>
        <w:tc>
          <w:tcPr>
            <w:tcW w:w="159" w:type="dxa"/>
          </w:tcPr>
          <w:p>
            <w:pPr>
              <w:pStyle w:val="TableParagraph"/>
              <w:rPr>
                <w:rFonts w:ascii="Times New Roman"/>
                <w:sz w:val="14"/>
              </w:rPr>
            </w:pPr>
          </w:p>
        </w:tc>
        <w:tc>
          <w:tcPr>
            <w:tcW w:w="795" w:type="dxa"/>
          </w:tcPr>
          <w:p>
            <w:pPr>
              <w:pStyle w:val="TableParagraph"/>
              <w:spacing w:line="184" w:lineRule="exact" w:before="14"/>
              <w:ind w:right="43"/>
              <w:jc w:val="right"/>
              <w:rPr>
                <w:sz w:val="16"/>
              </w:rPr>
            </w:pPr>
            <w:r>
              <w:rPr>
                <w:spacing w:val="-4"/>
                <w:sz w:val="16"/>
              </w:rPr>
              <w:t>1.7%</w:t>
            </w:r>
          </w:p>
        </w:tc>
        <w:tc>
          <w:tcPr>
            <w:tcW w:w="159" w:type="dxa"/>
          </w:tcPr>
          <w:p>
            <w:pPr>
              <w:pStyle w:val="TableParagraph"/>
              <w:rPr>
                <w:rFonts w:ascii="Times New Roman"/>
                <w:sz w:val="14"/>
              </w:rPr>
            </w:pPr>
          </w:p>
        </w:tc>
        <w:tc>
          <w:tcPr>
            <w:tcW w:w="926" w:type="dxa"/>
          </w:tcPr>
          <w:p>
            <w:pPr>
              <w:pStyle w:val="TableParagraph"/>
              <w:spacing w:line="184" w:lineRule="exact" w:before="14"/>
              <w:ind w:right="42"/>
              <w:jc w:val="right"/>
              <w:rPr>
                <w:sz w:val="16"/>
              </w:rPr>
            </w:pPr>
            <w:r>
              <w:rPr>
                <w:spacing w:val="-4"/>
                <w:sz w:val="16"/>
              </w:rPr>
              <w:t>0.8%</w:t>
            </w:r>
          </w:p>
        </w:tc>
        <w:tc>
          <w:tcPr>
            <w:tcW w:w="159" w:type="dxa"/>
          </w:tcPr>
          <w:p>
            <w:pPr>
              <w:pStyle w:val="TableParagraph"/>
              <w:rPr>
                <w:rFonts w:ascii="Times New Roman"/>
                <w:sz w:val="14"/>
              </w:rPr>
            </w:pPr>
          </w:p>
        </w:tc>
        <w:tc>
          <w:tcPr>
            <w:tcW w:w="1476" w:type="dxa"/>
          </w:tcPr>
          <w:p>
            <w:pPr>
              <w:pStyle w:val="TableParagraph"/>
              <w:spacing w:line="184" w:lineRule="exact" w:before="14"/>
              <w:ind w:right="42"/>
              <w:jc w:val="right"/>
              <w:rPr>
                <w:sz w:val="16"/>
              </w:rPr>
            </w:pPr>
            <w:r>
              <w:rPr>
                <w:spacing w:val="-2"/>
                <w:sz w:val="16"/>
              </w:rPr>
              <w:t>13.7%</w:t>
            </w:r>
          </w:p>
        </w:tc>
        <w:tc>
          <w:tcPr>
            <w:tcW w:w="159" w:type="dxa"/>
          </w:tcPr>
          <w:p>
            <w:pPr>
              <w:pStyle w:val="TableParagraph"/>
              <w:rPr>
                <w:rFonts w:ascii="Times New Roman"/>
                <w:sz w:val="14"/>
              </w:rPr>
            </w:pPr>
          </w:p>
        </w:tc>
        <w:tc>
          <w:tcPr>
            <w:tcW w:w="1418" w:type="dxa"/>
          </w:tcPr>
          <w:p>
            <w:pPr>
              <w:pStyle w:val="TableParagraph"/>
              <w:spacing w:line="184" w:lineRule="exact" w:before="14"/>
              <w:ind w:right="41"/>
              <w:jc w:val="right"/>
              <w:rPr>
                <w:sz w:val="16"/>
              </w:rPr>
            </w:pPr>
            <w:r>
              <w:rPr>
                <w:spacing w:val="-4"/>
                <w:sz w:val="16"/>
              </w:rPr>
              <w:t>0.7%</w:t>
            </w:r>
          </w:p>
        </w:tc>
      </w:tr>
      <w:tr>
        <w:trPr>
          <w:trHeight w:val="217" w:hRule="atLeast"/>
        </w:trPr>
        <w:tc>
          <w:tcPr>
            <w:tcW w:w="1433" w:type="dxa"/>
          </w:tcPr>
          <w:p>
            <w:pPr>
              <w:pStyle w:val="TableParagraph"/>
              <w:spacing w:line="184" w:lineRule="exact" w:before="14"/>
              <w:ind w:left="43"/>
              <w:rPr>
                <w:sz w:val="16"/>
              </w:rPr>
            </w:pPr>
            <w:r>
              <w:rPr>
                <w:sz w:val="16"/>
              </w:rPr>
              <w:t>3</w:t>
            </w:r>
            <w:r>
              <w:rPr>
                <w:spacing w:val="-5"/>
                <w:sz w:val="16"/>
              </w:rPr>
              <w:t> </w:t>
            </w:r>
            <w:r>
              <w:rPr>
                <w:spacing w:val="-2"/>
                <w:sz w:val="16"/>
              </w:rPr>
              <w:t>Bedroom</w:t>
            </w:r>
          </w:p>
        </w:tc>
        <w:tc>
          <w:tcPr>
            <w:tcW w:w="115" w:type="dxa"/>
          </w:tcPr>
          <w:p>
            <w:pPr>
              <w:pStyle w:val="TableParagraph"/>
              <w:rPr>
                <w:rFonts w:ascii="Times New Roman"/>
                <w:sz w:val="14"/>
              </w:rPr>
            </w:pPr>
          </w:p>
        </w:tc>
        <w:tc>
          <w:tcPr>
            <w:tcW w:w="796" w:type="dxa"/>
          </w:tcPr>
          <w:p>
            <w:pPr>
              <w:pStyle w:val="TableParagraph"/>
              <w:spacing w:line="184" w:lineRule="exact" w:before="14"/>
              <w:ind w:right="43"/>
              <w:jc w:val="right"/>
              <w:rPr>
                <w:sz w:val="16"/>
              </w:rPr>
            </w:pPr>
            <w:r>
              <w:rPr>
                <w:spacing w:val="-4"/>
                <w:sz w:val="16"/>
              </w:rPr>
              <w:t>2.4%</w:t>
            </w:r>
          </w:p>
        </w:tc>
        <w:tc>
          <w:tcPr>
            <w:tcW w:w="159" w:type="dxa"/>
          </w:tcPr>
          <w:p>
            <w:pPr>
              <w:pStyle w:val="TableParagraph"/>
              <w:rPr>
                <w:rFonts w:ascii="Times New Roman"/>
                <w:sz w:val="14"/>
              </w:rPr>
            </w:pPr>
          </w:p>
        </w:tc>
        <w:tc>
          <w:tcPr>
            <w:tcW w:w="795" w:type="dxa"/>
          </w:tcPr>
          <w:p>
            <w:pPr>
              <w:pStyle w:val="TableParagraph"/>
              <w:spacing w:line="184" w:lineRule="exact" w:before="14"/>
              <w:ind w:right="43"/>
              <w:jc w:val="right"/>
              <w:rPr>
                <w:sz w:val="16"/>
              </w:rPr>
            </w:pPr>
            <w:r>
              <w:rPr>
                <w:spacing w:val="-4"/>
                <w:sz w:val="16"/>
              </w:rPr>
              <w:t>2.6%</w:t>
            </w:r>
          </w:p>
        </w:tc>
        <w:tc>
          <w:tcPr>
            <w:tcW w:w="159" w:type="dxa"/>
          </w:tcPr>
          <w:p>
            <w:pPr>
              <w:pStyle w:val="TableParagraph"/>
              <w:rPr>
                <w:rFonts w:ascii="Times New Roman"/>
                <w:sz w:val="14"/>
              </w:rPr>
            </w:pPr>
          </w:p>
        </w:tc>
        <w:tc>
          <w:tcPr>
            <w:tcW w:w="926" w:type="dxa"/>
          </w:tcPr>
          <w:p>
            <w:pPr>
              <w:pStyle w:val="TableParagraph"/>
              <w:spacing w:line="184" w:lineRule="exact" w:before="14"/>
              <w:ind w:right="42"/>
              <w:jc w:val="right"/>
              <w:rPr>
                <w:sz w:val="16"/>
              </w:rPr>
            </w:pPr>
            <w:r>
              <w:rPr>
                <w:spacing w:val="-4"/>
                <w:sz w:val="16"/>
              </w:rPr>
              <w:t>2.5%</w:t>
            </w:r>
          </w:p>
        </w:tc>
        <w:tc>
          <w:tcPr>
            <w:tcW w:w="159" w:type="dxa"/>
          </w:tcPr>
          <w:p>
            <w:pPr>
              <w:pStyle w:val="TableParagraph"/>
              <w:rPr>
                <w:rFonts w:ascii="Times New Roman"/>
                <w:sz w:val="14"/>
              </w:rPr>
            </w:pPr>
          </w:p>
        </w:tc>
        <w:tc>
          <w:tcPr>
            <w:tcW w:w="1476" w:type="dxa"/>
          </w:tcPr>
          <w:p>
            <w:pPr>
              <w:pStyle w:val="TableParagraph"/>
              <w:spacing w:line="184" w:lineRule="exact" w:before="14"/>
              <w:ind w:right="42"/>
              <w:jc w:val="right"/>
              <w:rPr>
                <w:sz w:val="16"/>
              </w:rPr>
            </w:pPr>
            <w:r>
              <w:rPr>
                <w:spacing w:val="-2"/>
                <w:sz w:val="16"/>
              </w:rPr>
              <w:t>16.9%</w:t>
            </w:r>
          </w:p>
        </w:tc>
        <w:tc>
          <w:tcPr>
            <w:tcW w:w="159" w:type="dxa"/>
          </w:tcPr>
          <w:p>
            <w:pPr>
              <w:pStyle w:val="TableParagraph"/>
              <w:rPr>
                <w:rFonts w:ascii="Times New Roman"/>
                <w:sz w:val="14"/>
              </w:rPr>
            </w:pPr>
          </w:p>
        </w:tc>
        <w:tc>
          <w:tcPr>
            <w:tcW w:w="1418" w:type="dxa"/>
          </w:tcPr>
          <w:p>
            <w:pPr>
              <w:pStyle w:val="TableParagraph"/>
              <w:spacing w:line="184" w:lineRule="exact" w:before="14"/>
              <w:ind w:right="41"/>
              <w:jc w:val="right"/>
              <w:rPr>
                <w:sz w:val="16"/>
              </w:rPr>
            </w:pPr>
            <w:r>
              <w:rPr>
                <w:spacing w:val="-4"/>
                <w:sz w:val="16"/>
              </w:rPr>
              <w:t>0.6%</w:t>
            </w:r>
          </w:p>
        </w:tc>
      </w:tr>
      <w:tr>
        <w:trPr>
          <w:trHeight w:val="207" w:hRule="atLeast"/>
        </w:trPr>
        <w:tc>
          <w:tcPr>
            <w:tcW w:w="1433" w:type="dxa"/>
            <w:tcBorders>
              <w:bottom w:val="single" w:sz="6" w:space="0" w:color="000000"/>
            </w:tcBorders>
          </w:tcPr>
          <w:p>
            <w:pPr>
              <w:pStyle w:val="TableParagraph"/>
              <w:spacing w:line="173" w:lineRule="exact" w:before="14"/>
              <w:ind w:left="43"/>
              <w:rPr>
                <w:sz w:val="16"/>
              </w:rPr>
            </w:pPr>
            <w:r>
              <w:rPr>
                <w:spacing w:val="-2"/>
                <w:sz w:val="16"/>
              </w:rPr>
              <w:t>4+</w:t>
            </w:r>
            <w:r>
              <w:rPr>
                <w:spacing w:val="-9"/>
                <w:sz w:val="16"/>
              </w:rPr>
              <w:t> </w:t>
            </w:r>
            <w:r>
              <w:rPr>
                <w:spacing w:val="-2"/>
                <w:sz w:val="16"/>
              </w:rPr>
              <w:t>Bedroom</w:t>
            </w:r>
          </w:p>
        </w:tc>
        <w:tc>
          <w:tcPr>
            <w:tcW w:w="115" w:type="dxa"/>
          </w:tcPr>
          <w:p>
            <w:pPr>
              <w:pStyle w:val="TableParagraph"/>
              <w:rPr>
                <w:rFonts w:ascii="Times New Roman"/>
                <w:sz w:val="14"/>
              </w:rPr>
            </w:pPr>
          </w:p>
        </w:tc>
        <w:tc>
          <w:tcPr>
            <w:tcW w:w="796" w:type="dxa"/>
            <w:tcBorders>
              <w:bottom w:val="single" w:sz="6" w:space="0" w:color="000000"/>
            </w:tcBorders>
          </w:tcPr>
          <w:p>
            <w:pPr>
              <w:pStyle w:val="TableParagraph"/>
              <w:spacing w:line="173" w:lineRule="exact" w:before="14"/>
              <w:ind w:right="44"/>
              <w:jc w:val="right"/>
              <w:rPr>
                <w:sz w:val="16"/>
              </w:rPr>
            </w:pPr>
            <w:r>
              <w:rPr>
                <w:spacing w:val="-2"/>
                <w:sz w:val="16"/>
              </w:rPr>
              <w:t>10.1%</w:t>
            </w:r>
          </w:p>
        </w:tc>
        <w:tc>
          <w:tcPr>
            <w:tcW w:w="159" w:type="dxa"/>
          </w:tcPr>
          <w:p>
            <w:pPr>
              <w:pStyle w:val="TableParagraph"/>
              <w:rPr>
                <w:rFonts w:ascii="Times New Roman"/>
                <w:sz w:val="14"/>
              </w:rPr>
            </w:pPr>
          </w:p>
        </w:tc>
        <w:tc>
          <w:tcPr>
            <w:tcW w:w="795" w:type="dxa"/>
            <w:tcBorders>
              <w:bottom w:val="single" w:sz="6" w:space="0" w:color="000000"/>
            </w:tcBorders>
          </w:tcPr>
          <w:p>
            <w:pPr>
              <w:pStyle w:val="TableParagraph"/>
              <w:spacing w:line="173" w:lineRule="exact" w:before="14"/>
              <w:ind w:right="43"/>
              <w:jc w:val="right"/>
              <w:rPr>
                <w:sz w:val="16"/>
              </w:rPr>
            </w:pPr>
            <w:r>
              <w:rPr>
                <w:spacing w:val="-4"/>
                <w:sz w:val="16"/>
              </w:rPr>
              <w:t>2.8%</w:t>
            </w:r>
          </w:p>
        </w:tc>
        <w:tc>
          <w:tcPr>
            <w:tcW w:w="159" w:type="dxa"/>
          </w:tcPr>
          <w:p>
            <w:pPr>
              <w:pStyle w:val="TableParagraph"/>
              <w:rPr>
                <w:rFonts w:ascii="Times New Roman"/>
                <w:sz w:val="14"/>
              </w:rPr>
            </w:pPr>
          </w:p>
        </w:tc>
        <w:tc>
          <w:tcPr>
            <w:tcW w:w="926" w:type="dxa"/>
            <w:tcBorders>
              <w:bottom w:val="single" w:sz="6" w:space="0" w:color="000000"/>
            </w:tcBorders>
          </w:tcPr>
          <w:p>
            <w:pPr>
              <w:pStyle w:val="TableParagraph"/>
              <w:spacing w:line="173" w:lineRule="exact" w:before="14"/>
              <w:ind w:right="42"/>
              <w:jc w:val="right"/>
              <w:rPr>
                <w:sz w:val="16"/>
              </w:rPr>
            </w:pPr>
            <w:r>
              <w:rPr>
                <w:spacing w:val="-4"/>
                <w:sz w:val="16"/>
              </w:rPr>
              <w:t>4.5%</w:t>
            </w:r>
          </w:p>
        </w:tc>
        <w:tc>
          <w:tcPr>
            <w:tcW w:w="159" w:type="dxa"/>
          </w:tcPr>
          <w:p>
            <w:pPr>
              <w:pStyle w:val="TableParagraph"/>
              <w:rPr>
                <w:rFonts w:ascii="Times New Roman"/>
                <w:sz w:val="14"/>
              </w:rPr>
            </w:pPr>
          </w:p>
        </w:tc>
        <w:tc>
          <w:tcPr>
            <w:tcW w:w="1476" w:type="dxa"/>
            <w:tcBorders>
              <w:bottom w:val="single" w:sz="6" w:space="0" w:color="000000"/>
            </w:tcBorders>
          </w:tcPr>
          <w:p>
            <w:pPr>
              <w:pStyle w:val="TableParagraph"/>
              <w:spacing w:line="173" w:lineRule="exact" w:before="14"/>
              <w:ind w:right="42"/>
              <w:jc w:val="right"/>
              <w:rPr>
                <w:sz w:val="16"/>
              </w:rPr>
            </w:pPr>
            <w:r>
              <w:rPr>
                <w:spacing w:val="-2"/>
                <w:sz w:val="16"/>
              </w:rPr>
              <w:t>17.1%</w:t>
            </w:r>
          </w:p>
        </w:tc>
        <w:tc>
          <w:tcPr>
            <w:tcW w:w="159" w:type="dxa"/>
          </w:tcPr>
          <w:p>
            <w:pPr>
              <w:pStyle w:val="TableParagraph"/>
              <w:rPr>
                <w:rFonts w:ascii="Times New Roman"/>
                <w:sz w:val="14"/>
              </w:rPr>
            </w:pPr>
          </w:p>
        </w:tc>
        <w:tc>
          <w:tcPr>
            <w:tcW w:w="1418" w:type="dxa"/>
            <w:tcBorders>
              <w:bottom w:val="single" w:sz="6" w:space="0" w:color="000000"/>
            </w:tcBorders>
          </w:tcPr>
          <w:p>
            <w:pPr>
              <w:pStyle w:val="TableParagraph"/>
              <w:spacing w:line="173" w:lineRule="exact" w:before="14"/>
              <w:ind w:right="41"/>
              <w:jc w:val="right"/>
              <w:rPr>
                <w:sz w:val="16"/>
              </w:rPr>
            </w:pPr>
            <w:r>
              <w:rPr>
                <w:spacing w:val="-4"/>
                <w:sz w:val="16"/>
              </w:rPr>
              <w:t>2.0%</w:t>
            </w:r>
          </w:p>
        </w:tc>
      </w:tr>
      <w:tr>
        <w:trPr>
          <w:trHeight w:val="192" w:hRule="atLeast"/>
        </w:trPr>
        <w:tc>
          <w:tcPr>
            <w:tcW w:w="1433" w:type="dxa"/>
            <w:tcBorders>
              <w:top w:val="single" w:sz="6" w:space="0" w:color="000000"/>
            </w:tcBorders>
          </w:tcPr>
          <w:p>
            <w:pPr>
              <w:pStyle w:val="TableParagraph"/>
              <w:spacing w:line="164" w:lineRule="exact" w:before="9"/>
              <w:ind w:left="43"/>
              <w:rPr>
                <w:rFonts w:ascii="Arial"/>
                <w:b/>
                <w:sz w:val="16"/>
              </w:rPr>
            </w:pPr>
            <w:r>
              <w:rPr>
                <w:rFonts w:ascii="Arial"/>
                <w:b/>
                <w:sz w:val="16"/>
              </w:rPr>
              <w:t>Total,</w:t>
            </w:r>
            <w:r>
              <w:rPr>
                <w:rFonts w:ascii="Arial"/>
                <w:b/>
                <w:spacing w:val="-5"/>
                <w:sz w:val="16"/>
              </w:rPr>
              <w:t> </w:t>
            </w:r>
            <w:r>
              <w:rPr>
                <w:rFonts w:ascii="Arial"/>
                <w:b/>
                <w:sz w:val="16"/>
              </w:rPr>
              <w:t>All</w:t>
            </w:r>
            <w:r>
              <w:rPr>
                <w:rFonts w:ascii="Arial"/>
                <w:b/>
                <w:spacing w:val="-4"/>
                <w:sz w:val="16"/>
              </w:rPr>
              <w:t> </w:t>
            </w:r>
            <w:r>
              <w:rPr>
                <w:rFonts w:ascii="Arial"/>
                <w:b/>
                <w:spacing w:val="-2"/>
                <w:sz w:val="16"/>
              </w:rPr>
              <w:t>Sizes</w:t>
            </w:r>
          </w:p>
        </w:tc>
        <w:tc>
          <w:tcPr>
            <w:tcW w:w="115" w:type="dxa"/>
          </w:tcPr>
          <w:p>
            <w:pPr>
              <w:pStyle w:val="TableParagraph"/>
              <w:rPr>
                <w:rFonts w:ascii="Times New Roman"/>
                <w:sz w:val="12"/>
              </w:rPr>
            </w:pPr>
          </w:p>
        </w:tc>
        <w:tc>
          <w:tcPr>
            <w:tcW w:w="796" w:type="dxa"/>
            <w:tcBorders>
              <w:top w:val="single" w:sz="6" w:space="0" w:color="000000"/>
            </w:tcBorders>
          </w:tcPr>
          <w:p>
            <w:pPr>
              <w:pStyle w:val="TableParagraph"/>
              <w:spacing w:line="164" w:lineRule="exact" w:before="9"/>
              <w:ind w:right="29"/>
              <w:jc w:val="right"/>
              <w:rPr>
                <w:rFonts w:ascii="Arial"/>
                <w:b/>
                <w:sz w:val="16"/>
              </w:rPr>
            </w:pPr>
            <w:r>
              <w:rPr>
                <w:rFonts w:ascii="Arial"/>
                <w:b/>
                <w:spacing w:val="-4"/>
                <w:sz w:val="16"/>
              </w:rPr>
              <w:t>1.1%</w:t>
            </w:r>
          </w:p>
        </w:tc>
        <w:tc>
          <w:tcPr>
            <w:tcW w:w="159" w:type="dxa"/>
          </w:tcPr>
          <w:p>
            <w:pPr>
              <w:pStyle w:val="TableParagraph"/>
              <w:rPr>
                <w:rFonts w:ascii="Times New Roman"/>
                <w:sz w:val="12"/>
              </w:rPr>
            </w:pPr>
          </w:p>
        </w:tc>
        <w:tc>
          <w:tcPr>
            <w:tcW w:w="795" w:type="dxa"/>
            <w:tcBorders>
              <w:top w:val="single" w:sz="6" w:space="0" w:color="000000"/>
            </w:tcBorders>
          </w:tcPr>
          <w:p>
            <w:pPr>
              <w:pStyle w:val="TableParagraph"/>
              <w:spacing w:line="164" w:lineRule="exact" w:before="9"/>
              <w:ind w:right="28"/>
              <w:jc w:val="right"/>
              <w:rPr>
                <w:rFonts w:ascii="Arial"/>
                <w:b/>
                <w:sz w:val="16"/>
              </w:rPr>
            </w:pPr>
            <w:r>
              <w:rPr>
                <w:rFonts w:ascii="Arial"/>
                <w:b/>
                <w:spacing w:val="-4"/>
                <w:sz w:val="16"/>
              </w:rPr>
              <w:t>2.4%</w:t>
            </w:r>
          </w:p>
        </w:tc>
        <w:tc>
          <w:tcPr>
            <w:tcW w:w="159" w:type="dxa"/>
          </w:tcPr>
          <w:p>
            <w:pPr>
              <w:pStyle w:val="TableParagraph"/>
              <w:rPr>
                <w:rFonts w:ascii="Times New Roman"/>
                <w:sz w:val="12"/>
              </w:rPr>
            </w:pPr>
          </w:p>
        </w:tc>
        <w:tc>
          <w:tcPr>
            <w:tcW w:w="926" w:type="dxa"/>
            <w:tcBorders>
              <w:top w:val="single" w:sz="6" w:space="0" w:color="000000"/>
            </w:tcBorders>
          </w:tcPr>
          <w:p>
            <w:pPr>
              <w:pStyle w:val="TableParagraph"/>
              <w:spacing w:line="164" w:lineRule="exact" w:before="9"/>
              <w:ind w:right="28"/>
              <w:jc w:val="right"/>
              <w:rPr>
                <w:rFonts w:ascii="Arial"/>
                <w:b/>
                <w:sz w:val="16"/>
              </w:rPr>
            </w:pPr>
            <w:r>
              <w:rPr>
                <w:rFonts w:ascii="Arial"/>
                <w:b/>
                <w:spacing w:val="-4"/>
                <w:sz w:val="16"/>
              </w:rPr>
              <w:t>1.4%</w:t>
            </w:r>
          </w:p>
        </w:tc>
        <w:tc>
          <w:tcPr>
            <w:tcW w:w="159" w:type="dxa"/>
          </w:tcPr>
          <w:p>
            <w:pPr>
              <w:pStyle w:val="TableParagraph"/>
              <w:rPr>
                <w:rFonts w:ascii="Times New Roman"/>
                <w:sz w:val="12"/>
              </w:rPr>
            </w:pPr>
          </w:p>
        </w:tc>
        <w:tc>
          <w:tcPr>
            <w:tcW w:w="1476" w:type="dxa"/>
            <w:tcBorders>
              <w:top w:val="single" w:sz="6" w:space="0" w:color="000000"/>
            </w:tcBorders>
          </w:tcPr>
          <w:p>
            <w:pPr>
              <w:pStyle w:val="TableParagraph"/>
              <w:spacing w:line="164" w:lineRule="exact" w:before="9"/>
              <w:ind w:right="28"/>
              <w:jc w:val="right"/>
              <w:rPr>
                <w:rFonts w:ascii="Arial"/>
                <w:b/>
                <w:sz w:val="16"/>
              </w:rPr>
            </w:pPr>
            <w:r>
              <w:rPr>
                <w:rFonts w:ascii="Arial"/>
                <w:b/>
                <w:spacing w:val="-2"/>
                <w:sz w:val="16"/>
              </w:rPr>
              <w:t>12.2%</w:t>
            </w:r>
          </w:p>
        </w:tc>
        <w:tc>
          <w:tcPr>
            <w:tcW w:w="159" w:type="dxa"/>
          </w:tcPr>
          <w:p>
            <w:pPr>
              <w:pStyle w:val="TableParagraph"/>
              <w:rPr>
                <w:rFonts w:ascii="Times New Roman"/>
                <w:sz w:val="12"/>
              </w:rPr>
            </w:pPr>
          </w:p>
        </w:tc>
        <w:tc>
          <w:tcPr>
            <w:tcW w:w="1418" w:type="dxa"/>
            <w:tcBorders>
              <w:top w:val="single" w:sz="6" w:space="0" w:color="000000"/>
            </w:tcBorders>
          </w:tcPr>
          <w:p>
            <w:pPr>
              <w:pStyle w:val="TableParagraph"/>
              <w:spacing w:line="164" w:lineRule="exact" w:before="9"/>
              <w:ind w:right="27"/>
              <w:jc w:val="right"/>
              <w:rPr>
                <w:rFonts w:ascii="Arial"/>
                <w:b/>
                <w:sz w:val="16"/>
              </w:rPr>
            </w:pPr>
            <w:r>
              <w:rPr>
                <w:rFonts w:ascii="Arial"/>
                <w:b/>
                <w:spacing w:val="-4"/>
                <w:sz w:val="16"/>
              </w:rPr>
              <w:t>1.0%</w:t>
            </w:r>
          </w:p>
        </w:tc>
      </w:tr>
    </w:tbl>
    <w:p>
      <w:pPr>
        <w:pStyle w:val="BodyText"/>
        <w:spacing w:before="3"/>
        <w:rPr>
          <w:rFonts w:ascii="Arial"/>
          <w:b/>
          <w:sz w:val="17"/>
        </w:rPr>
      </w:pPr>
      <w:r>
        <w:rPr>
          <w:rFonts w:ascii="Arial"/>
          <w:b/>
          <w:sz w:val="17"/>
        </w:rPr>
        <mc:AlternateContent>
          <mc:Choice Requires="wps">
            <w:drawing>
              <wp:anchor distT="0" distB="0" distL="0" distR="0" allowOverlap="1" layoutInCell="1" locked="0" behindDoc="1" simplePos="0" relativeHeight="487591936">
                <wp:simplePos x="0" y="0"/>
                <wp:positionH relativeFrom="page">
                  <wp:posOffset>1097280</wp:posOffset>
                </wp:positionH>
                <wp:positionV relativeFrom="paragraph">
                  <wp:posOffset>141802</wp:posOffset>
                </wp:positionV>
                <wp:extent cx="5577840" cy="8890"/>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5577840" cy="8890"/>
                          <a:chExt cx="5577840" cy="8890"/>
                        </a:xfrm>
                      </wpg:grpSpPr>
                      <wps:wsp>
                        <wps:cNvPr id="64" name="Graphic 64"/>
                        <wps:cNvSpPr/>
                        <wps:spPr>
                          <a:xfrm>
                            <a:off x="4586" y="0"/>
                            <a:ext cx="5573395" cy="8890"/>
                          </a:xfrm>
                          <a:custGeom>
                            <a:avLst/>
                            <a:gdLst/>
                            <a:ahLst/>
                            <a:cxnLst/>
                            <a:rect l="l" t="t" r="r" b="b"/>
                            <a:pathLst>
                              <a:path w="5573395" h="8890">
                                <a:moveTo>
                                  <a:pt x="5573086" y="0"/>
                                </a:moveTo>
                                <a:lnTo>
                                  <a:pt x="0" y="0"/>
                                </a:lnTo>
                                <a:lnTo>
                                  <a:pt x="0" y="8317"/>
                                </a:lnTo>
                                <a:lnTo>
                                  <a:pt x="5573086" y="8317"/>
                                </a:lnTo>
                                <a:lnTo>
                                  <a:pt x="5573086"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0" y="0"/>
                            <a:ext cx="5577840" cy="8890"/>
                          </a:xfrm>
                          <a:custGeom>
                            <a:avLst/>
                            <a:gdLst/>
                            <a:ahLst/>
                            <a:cxnLst/>
                            <a:rect l="l" t="t" r="r" b="b"/>
                            <a:pathLst>
                              <a:path w="5577840" h="8890">
                                <a:moveTo>
                                  <a:pt x="5577673" y="0"/>
                                </a:moveTo>
                                <a:lnTo>
                                  <a:pt x="0" y="0"/>
                                </a:lnTo>
                                <a:lnTo>
                                  <a:pt x="0" y="8317"/>
                                </a:lnTo>
                                <a:lnTo>
                                  <a:pt x="5577673" y="8317"/>
                                </a:lnTo>
                                <a:lnTo>
                                  <a:pt x="55776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6.400009pt;margin-top:11.165578pt;width:439.2pt;height:.7pt;mso-position-horizontal-relative:page;mso-position-vertical-relative:paragraph;z-index:-15724544;mso-wrap-distance-left:0;mso-wrap-distance-right:0" id="docshapegroup53" coordorigin="1728,223" coordsize="8784,14">
                <v:rect style="position:absolute;left:1735;top:223;width:8777;height:14" id="docshape54" filled="true" fillcolor="#000000" stroked="false">
                  <v:fill type="solid"/>
                </v:rect>
                <v:rect style="position:absolute;left:1728;top:223;width:8784;height:14" id="docshape55" filled="true" fillcolor="#000000" stroked="false">
                  <v:fill type="solid"/>
                </v:rect>
                <w10:wrap type="topAndBottom"/>
              </v:group>
            </w:pict>
          </mc:Fallback>
        </mc:AlternateContent>
      </w:r>
    </w:p>
    <w:p>
      <w:pPr>
        <w:spacing w:before="2"/>
        <w:ind w:left="1008" w:right="0" w:firstLine="0"/>
        <w:jc w:val="left"/>
        <w:rPr>
          <w:rFonts w:ascii="Arial MT"/>
          <w:sz w:val="16"/>
        </w:rPr>
      </w:pPr>
      <w:r>
        <w:rPr>
          <w:rFonts w:ascii="Arial MT"/>
          <w:spacing w:val="-2"/>
          <w:sz w:val="16"/>
        </w:rPr>
        <w:t>Notes:</w:t>
      </w:r>
    </w:p>
    <w:p>
      <w:pPr>
        <w:pStyle w:val="ListParagraph"/>
        <w:numPr>
          <w:ilvl w:val="0"/>
          <w:numId w:val="3"/>
        </w:numPr>
        <w:tabs>
          <w:tab w:pos="1292" w:val="left" w:leader="none"/>
        </w:tabs>
        <w:spacing w:line="183" w:lineRule="exact" w:before="1" w:after="0"/>
        <w:ind w:left="1292" w:right="0" w:hanging="284"/>
        <w:jc w:val="left"/>
        <w:rPr>
          <w:sz w:val="16"/>
        </w:rPr>
      </w:pPr>
      <w:r>
        <w:rPr>
          <w:sz w:val="16"/>
        </w:rPr>
        <w:t>Based</w:t>
      </w:r>
      <w:r>
        <w:rPr>
          <w:spacing w:val="-6"/>
          <w:sz w:val="16"/>
        </w:rPr>
        <w:t> </w:t>
      </w:r>
      <w:r>
        <w:rPr>
          <w:sz w:val="16"/>
        </w:rPr>
        <w:t>on</w:t>
      </w:r>
      <w:r>
        <w:rPr>
          <w:spacing w:val="-5"/>
          <w:sz w:val="16"/>
        </w:rPr>
        <w:t> </w:t>
      </w:r>
      <w:r>
        <w:rPr>
          <w:sz w:val="16"/>
        </w:rPr>
        <w:t>the</w:t>
      </w:r>
      <w:r>
        <w:rPr>
          <w:spacing w:val="-3"/>
          <w:sz w:val="16"/>
        </w:rPr>
        <w:t> </w:t>
      </w:r>
      <w:r>
        <w:rPr>
          <w:sz w:val="16"/>
        </w:rPr>
        <w:t>number</w:t>
      </w:r>
      <w:r>
        <w:rPr>
          <w:spacing w:val="-3"/>
          <w:sz w:val="16"/>
        </w:rPr>
        <w:t> </w:t>
      </w:r>
      <w:r>
        <w:rPr>
          <w:sz w:val="16"/>
        </w:rPr>
        <w:t>of</w:t>
      </w:r>
      <w:r>
        <w:rPr>
          <w:spacing w:val="-2"/>
          <w:sz w:val="16"/>
        </w:rPr>
        <w:t> </w:t>
      </w:r>
      <w:r>
        <w:rPr>
          <w:sz w:val="16"/>
        </w:rPr>
        <w:t>units,</w:t>
      </w:r>
      <w:r>
        <w:rPr>
          <w:spacing w:val="-4"/>
          <w:sz w:val="16"/>
        </w:rPr>
        <w:t> </w:t>
      </w:r>
      <w:r>
        <w:rPr>
          <w:sz w:val="16"/>
        </w:rPr>
        <w:t>by</w:t>
      </w:r>
      <w:r>
        <w:rPr>
          <w:spacing w:val="-4"/>
          <w:sz w:val="16"/>
        </w:rPr>
        <w:t> </w:t>
      </w:r>
      <w:r>
        <w:rPr>
          <w:sz w:val="16"/>
        </w:rPr>
        <w:t>unit</w:t>
      </w:r>
      <w:r>
        <w:rPr>
          <w:spacing w:val="-5"/>
          <w:sz w:val="16"/>
        </w:rPr>
        <w:t> </w:t>
      </w:r>
      <w:r>
        <w:rPr>
          <w:sz w:val="16"/>
        </w:rPr>
        <w:t>type,</w:t>
      </w:r>
      <w:r>
        <w:rPr>
          <w:spacing w:val="-2"/>
          <w:sz w:val="16"/>
        </w:rPr>
        <w:t> </w:t>
      </w:r>
      <w:r>
        <w:rPr>
          <w:sz w:val="16"/>
        </w:rPr>
        <w:t>reported</w:t>
      </w:r>
      <w:r>
        <w:rPr>
          <w:spacing w:val="-6"/>
          <w:sz w:val="16"/>
        </w:rPr>
        <w:t> </w:t>
      </w:r>
      <w:r>
        <w:rPr>
          <w:sz w:val="16"/>
        </w:rPr>
        <w:t>as</w:t>
      </w:r>
      <w:r>
        <w:rPr>
          <w:spacing w:val="-4"/>
          <w:sz w:val="16"/>
        </w:rPr>
        <w:t> </w:t>
      </w:r>
      <w:r>
        <w:rPr>
          <w:sz w:val="16"/>
        </w:rPr>
        <w:t>rented</w:t>
      </w:r>
      <w:r>
        <w:rPr>
          <w:spacing w:val="-3"/>
          <w:sz w:val="16"/>
        </w:rPr>
        <w:t> </w:t>
      </w:r>
      <w:r>
        <w:rPr>
          <w:sz w:val="16"/>
        </w:rPr>
        <w:t>on</w:t>
      </w:r>
      <w:r>
        <w:rPr>
          <w:spacing w:val="-3"/>
          <w:sz w:val="16"/>
        </w:rPr>
        <w:t> </w:t>
      </w:r>
      <w:r>
        <w:rPr>
          <w:sz w:val="16"/>
        </w:rPr>
        <w:t>a</w:t>
      </w:r>
      <w:r>
        <w:rPr>
          <w:spacing w:val="-3"/>
          <w:sz w:val="16"/>
        </w:rPr>
        <w:t> </w:t>
      </w:r>
      <w:r>
        <w:rPr>
          <w:sz w:val="16"/>
        </w:rPr>
        <w:t>per</w:t>
      </w:r>
      <w:r>
        <w:rPr>
          <w:spacing w:val="-4"/>
          <w:sz w:val="16"/>
        </w:rPr>
        <w:t> </w:t>
      </w:r>
      <w:r>
        <w:rPr>
          <w:sz w:val="16"/>
        </w:rPr>
        <w:t>unit</w:t>
      </w:r>
      <w:r>
        <w:rPr>
          <w:spacing w:val="-4"/>
          <w:sz w:val="16"/>
        </w:rPr>
        <w:t> </w:t>
      </w:r>
      <w:r>
        <w:rPr>
          <w:sz w:val="16"/>
        </w:rPr>
        <w:t>basis</w:t>
      </w:r>
      <w:r>
        <w:rPr>
          <w:spacing w:val="-3"/>
          <w:sz w:val="16"/>
        </w:rPr>
        <w:t> </w:t>
      </w:r>
      <w:r>
        <w:rPr>
          <w:sz w:val="16"/>
        </w:rPr>
        <w:t>(i.e.,</w:t>
      </w:r>
      <w:r>
        <w:rPr>
          <w:spacing w:val="-4"/>
          <w:sz w:val="16"/>
        </w:rPr>
        <w:t> </w:t>
      </w:r>
      <w:r>
        <w:rPr>
          <w:sz w:val="16"/>
        </w:rPr>
        <w:t>unit</w:t>
      </w:r>
      <w:r>
        <w:rPr>
          <w:spacing w:val="2"/>
          <w:sz w:val="16"/>
        </w:rPr>
        <w:t> </w:t>
      </w:r>
      <w:r>
        <w:rPr>
          <w:spacing w:val="-2"/>
          <w:sz w:val="16"/>
        </w:rPr>
        <w:t>lease).</w:t>
      </w:r>
    </w:p>
    <w:p>
      <w:pPr>
        <w:pStyle w:val="ListParagraph"/>
        <w:numPr>
          <w:ilvl w:val="0"/>
          <w:numId w:val="3"/>
        </w:numPr>
        <w:tabs>
          <w:tab w:pos="1292" w:val="left" w:leader="none"/>
        </w:tabs>
        <w:spacing w:line="183" w:lineRule="exact" w:before="0" w:after="0"/>
        <w:ind w:left="1292" w:right="0" w:hanging="284"/>
        <w:jc w:val="left"/>
        <w:rPr>
          <w:sz w:val="16"/>
        </w:rPr>
      </w:pPr>
      <w:r>
        <w:rPr>
          <w:sz w:val="16"/>
        </w:rPr>
        <w:t>Based</w:t>
      </w:r>
      <w:r>
        <w:rPr>
          <w:spacing w:val="-6"/>
          <w:sz w:val="16"/>
        </w:rPr>
        <w:t> </w:t>
      </w:r>
      <w:r>
        <w:rPr>
          <w:sz w:val="16"/>
        </w:rPr>
        <w:t>on</w:t>
      </w:r>
      <w:r>
        <w:rPr>
          <w:spacing w:val="-5"/>
          <w:sz w:val="16"/>
        </w:rPr>
        <w:t> </w:t>
      </w:r>
      <w:r>
        <w:rPr>
          <w:sz w:val="16"/>
        </w:rPr>
        <w:t>the</w:t>
      </w:r>
      <w:r>
        <w:rPr>
          <w:spacing w:val="-4"/>
          <w:sz w:val="16"/>
        </w:rPr>
        <w:t> </w:t>
      </w:r>
      <w:r>
        <w:rPr>
          <w:sz w:val="16"/>
        </w:rPr>
        <w:t>number</w:t>
      </w:r>
      <w:r>
        <w:rPr>
          <w:spacing w:val="-3"/>
          <w:sz w:val="16"/>
        </w:rPr>
        <w:t> </w:t>
      </w:r>
      <w:r>
        <w:rPr>
          <w:sz w:val="16"/>
        </w:rPr>
        <w:t>of</w:t>
      </w:r>
      <w:r>
        <w:rPr>
          <w:spacing w:val="-2"/>
          <w:sz w:val="16"/>
        </w:rPr>
        <w:t> </w:t>
      </w:r>
      <w:r>
        <w:rPr>
          <w:sz w:val="16"/>
        </w:rPr>
        <w:t>units,</w:t>
      </w:r>
      <w:r>
        <w:rPr>
          <w:spacing w:val="-5"/>
          <w:sz w:val="16"/>
        </w:rPr>
        <w:t> </w:t>
      </w:r>
      <w:r>
        <w:rPr>
          <w:sz w:val="16"/>
        </w:rPr>
        <w:t>by</w:t>
      </w:r>
      <w:r>
        <w:rPr>
          <w:spacing w:val="-4"/>
          <w:sz w:val="16"/>
        </w:rPr>
        <w:t> </w:t>
      </w:r>
      <w:r>
        <w:rPr>
          <w:sz w:val="16"/>
        </w:rPr>
        <w:t>unit</w:t>
      </w:r>
      <w:r>
        <w:rPr>
          <w:spacing w:val="-4"/>
          <w:sz w:val="16"/>
        </w:rPr>
        <w:t> </w:t>
      </w:r>
      <w:r>
        <w:rPr>
          <w:sz w:val="16"/>
        </w:rPr>
        <w:t>type,</w:t>
      </w:r>
      <w:r>
        <w:rPr>
          <w:spacing w:val="-3"/>
          <w:sz w:val="16"/>
        </w:rPr>
        <w:t> </w:t>
      </w:r>
      <w:r>
        <w:rPr>
          <w:sz w:val="16"/>
        </w:rPr>
        <w:t>reported</w:t>
      </w:r>
      <w:r>
        <w:rPr>
          <w:spacing w:val="-6"/>
          <w:sz w:val="16"/>
        </w:rPr>
        <w:t> </w:t>
      </w:r>
      <w:r>
        <w:rPr>
          <w:sz w:val="16"/>
        </w:rPr>
        <w:t>as</w:t>
      </w:r>
      <w:r>
        <w:rPr>
          <w:spacing w:val="-4"/>
          <w:sz w:val="16"/>
        </w:rPr>
        <w:t> </w:t>
      </w:r>
      <w:r>
        <w:rPr>
          <w:sz w:val="16"/>
        </w:rPr>
        <w:t>rented</w:t>
      </w:r>
      <w:r>
        <w:rPr>
          <w:spacing w:val="-4"/>
          <w:sz w:val="16"/>
        </w:rPr>
        <w:t> </w:t>
      </w:r>
      <w:r>
        <w:rPr>
          <w:sz w:val="16"/>
        </w:rPr>
        <w:t>on</w:t>
      </w:r>
      <w:r>
        <w:rPr>
          <w:spacing w:val="-3"/>
          <w:sz w:val="16"/>
        </w:rPr>
        <w:t> </w:t>
      </w:r>
      <w:r>
        <w:rPr>
          <w:sz w:val="16"/>
        </w:rPr>
        <w:t>a</w:t>
      </w:r>
      <w:r>
        <w:rPr>
          <w:spacing w:val="-3"/>
          <w:sz w:val="16"/>
        </w:rPr>
        <w:t> </w:t>
      </w:r>
      <w:r>
        <w:rPr>
          <w:sz w:val="16"/>
        </w:rPr>
        <w:t>per</w:t>
      </w:r>
      <w:r>
        <w:rPr>
          <w:spacing w:val="-4"/>
          <w:sz w:val="16"/>
        </w:rPr>
        <w:t> </w:t>
      </w:r>
      <w:r>
        <w:rPr>
          <w:sz w:val="16"/>
        </w:rPr>
        <w:t>bed</w:t>
      </w:r>
      <w:r>
        <w:rPr>
          <w:spacing w:val="-3"/>
          <w:sz w:val="16"/>
        </w:rPr>
        <w:t> </w:t>
      </w:r>
      <w:r>
        <w:rPr>
          <w:sz w:val="16"/>
        </w:rPr>
        <w:t>basis</w:t>
      </w:r>
      <w:r>
        <w:rPr>
          <w:spacing w:val="-2"/>
          <w:sz w:val="16"/>
        </w:rPr>
        <w:t> </w:t>
      </w:r>
      <w:r>
        <w:rPr>
          <w:sz w:val="16"/>
        </w:rPr>
        <w:t>(i.e.,</w:t>
      </w:r>
      <w:r>
        <w:rPr>
          <w:spacing w:val="-4"/>
          <w:sz w:val="16"/>
        </w:rPr>
        <w:t> </w:t>
      </w:r>
      <w:r>
        <w:rPr>
          <w:sz w:val="16"/>
        </w:rPr>
        <w:t>bed</w:t>
      </w:r>
      <w:r>
        <w:rPr>
          <w:spacing w:val="-3"/>
          <w:sz w:val="16"/>
        </w:rPr>
        <w:t> </w:t>
      </w:r>
      <w:r>
        <w:rPr>
          <w:spacing w:val="-2"/>
          <w:sz w:val="16"/>
        </w:rPr>
        <w:t>lease).</w:t>
      </w:r>
    </w:p>
    <w:p>
      <w:pPr>
        <w:pStyle w:val="ListParagraph"/>
        <w:numPr>
          <w:ilvl w:val="0"/>
          <w:numId w:val="3"/>
        </w:numPr>
        <w:tabs>
          <w:tab w:pos="1282" w:val="left" w:leader="none"/>
        </w:tabs>
        <w:spacing w:line="240" w:lineRule="auto" w:before="0" w:after="0"/>
        <w:ind w:left="1008" w:right="1361" w:firstLine="0"/>
        <w:jc w:val="left"/>
        <w:rPr>
          <w:sz w:val="16"/>
        </w:rPr>
      </w:pPr>
      <w:r>
        <w:rPr>
          <w:sz w:val="16"/>
        </w:rPr>
        <w:t>Based</w:t>
      </w:r>
      <w:r>
        <w:rPr>
          <w:spacing w:val="-4"/>
          <w:sz w:val="16"/>
        </w:rPr>
        <w:t> </w:t>
      </w:r>
      <w:r>
        <w:rPr>
          <w:sz w:val="16"/>
        </w:rPr>
        <w:t>on</w:t>
      </w:r>
      <w:r>
        <w:rPr>
          <w:spacing w:val="-2"/>
          <w:sz w:val="16"/>
        </w:rPr>
        <w:t> </w:t>
      </w:r>
      <w:r>
        <w:rPr>
          <w:sz w:val="16"/>
        </w:rPr>
        <w:t>the</w:t>
      </w:r>
      <w:r>
        <w:rPr>
          <w:spacing w:val="-4"/>
          <w:sz w:val="16"/>
        </w:rPr>
        <w:t> </w:t>
      </w:r>
      <w:r>
        <w:rPr>
          <w:sz w:val="16"/>
        </w:rPr>
        <w:t>number</w:t>
      </w:r>
      <w:r>
        <w:rPr>
          <w:spacing w:val="-2"/>
          <w:sz w:val="16"/>
        </w:rPr>
        <w:t> </w:t>
      </w:r>
      <w:r>
        <w:rPr>
          <w:sz w:val="16"/>
        </w:rPr>
        <w:t>of</w:t>
      </w:r>
      <w:r>
        <w:rPr>
          <w:spacing w:val="-1"/>
          <w:sz w:val="16"/>
        </w:rPr>
        <w:t> </w:t>
      </w:r>
      <w:r>
        <w:rPr>
          <w:sz w:val="16"/>
        </w:rPr>
        <w:t>units,</w:t>
      </w:r>
      <w:r>
        <w:rPr>
          <w:spacing w:val="-3"/>
          <w:sz w:val="16"/>
        </w:rPr>
        <w:t> </w:t>
      </w:r>
      <w:r>
        <w:rPr>
          <w:sz w:val="16"/>
        </w:rPr>
        <w:t>by unit</w:t>
      </w:r>
      <w:r>
        <w:rPr>
          <w:spacing w:val="-3"/>
          <w:sz w:val="16"/>
        </w:rPr>
        <w:t> </w:t>
      </w:r>
      <w:r>
        <w:rPr>
          <w:sz w:val="16"/>
        </w:rPr>
        <w:t>type,</w:t>
      </w:r>
      <w:r>
        <w:rPr>
          <w:spacing w:val="-3"/>
          <w:sz w:val="16"/>
        </w:rPr>
        <w:t> </w:t>
      </w:r>
      <w:r>
        <w:rPr>
          <w:sz w:val="16"/>
        </w:rPr>
        <w:t>reported</w:t>
      </w:r>
      <w:r>
        <w:rPr>
          <w:spacing w:val="-2"/>
          <w:sz w:val="16"/>
        </w:rPr>
        <w:t> </w:t>
      </w:r>
      <w:r>
        <w:rPr>
          <w:sz w:val="16"/>
        </w:rPr>
        <w:t>as rented</w:t>
      </w:r>
      <w:r>
        <w:rPr>
          <w:spacing w:val="-4"/>
          <w:sz w:val="16"/>
        </w:rPr>
        <w:t> </w:t>
      </w:r>
      <w:r>
        <w:rPr>
          <w:sz w:val="16"/>
        </w:rPr>
        <w:t>on</w:t>
      </w:r>
      <w:r>
        <w:rPr>
          <w:spacing w:val="-2"/>
          <w:sz w:val="16"/>
        </w:rPr>
        <w:t> </w:t>
      </w:r>
      <w:r>
        <w:rPr>
          <w:sz w:val="16"/>
        </w:rPr>
        <w:t>a</w:t>
      </w:r>
      <w:r>
        <w:rPr>
          <w:spacing w:val="-2"/>
          <w:sz w:val="16"/>
        </w:rPr>
        <w:t> </w:t>
      </w:r>
      <w:r>
        <w:rPr>
          <w:sz w:val="16"/>
        </w:rPr>
        <w:t>per</w:t>
      </w:r>
      <w:r>
        <w:rPr>
          <w:spacing w:val="-2"/>
          <w:sz w:val="16"/>
        </w:rPr>
        <w:t> </w:t>
      </w:r>
      <w:r>
        <w:rPr>
          <w:sz w:val="16"/>
        </w:rPr>
        <w:t>unit</w:t>
      </w:r>
      <w:r>
        <w:rPr>
          <w:spacing w:val="-3"/>
          <w:sz w:val="16"/>
        </w:rPr>
        <w:t> </w:t>
      </w:r>
      <w:r>
        <w:rPr>
          <w:sz w:val="16"/>
        </w:rPr>
        <w:t>basis</w:t>
      </w:r>
      <w:r>
        <w:rPr>
          <w:spacing w:val="-2"/>
          <w:sz w:val="16"/>
        </w:rPr>
        <w:t> </w:t>
      </w:r>
      <w:r>
        <w:rPr>
          <w:sz w:val="16"/>
        </w:rPr>
        <w:t>(i.e.,</w:t>
      </w:r>
      <w:r>
        <w:rPr>
          <w:spacing w:val="-3"/>
          <w:sz w:val="16"/>
        </w:rPr>
        <w:t> </w:t>
      </w:r>
      <w:r>
        <w:rPr>
          <w:sz w:val="16"/>
        </w:rPr>
        <w:t>unit</w:t>
      </w:r>
      <w:r>
        <w:rPr>
          <w:spacing w:val="-3"/>
          <w:sz w:val="16"/>
        </w:rPr>
        <w:t> </w:t>
      </w:r>
      <w:r>
        <w:rPr>
          <w:sz w:val="16"/>
        </w:rPr>
        <w:t>lease),</w:t>
      </w:r>
      <w:r>
        <w:rPr>
          <w:spacing w:val="-4"/>
          <w:sz w:val="16"/>
        </w:rPr>
        <w:t> </w:t>
      </w:r>
      <w:r>
        <w:rPr>
          <w:sz w:val="16"/>
        </w:rPr>
        <w:t>with</w:t>
      </w:r>
      <w:r>
        <w:rPr>
          <w:spacing w:val="-4"/>
          <w:sz w:val="16"/>
        </w:rPr>
        <w:t> </w:t>
      </w:r>
      <w:r>
        <w:rPr>
          <w:sz w:val="16"/>
        </w:rPr>
        <w:t>vacant</w:t>
      </w:r>
      <w:r>
        <w:rPr>
          <w:spacing w:val="-3"/>
          <w:sz w:val="16"/>
        </w:rPr>
        <w:t> </w:t>
      </w:r>
      <w:r>
        <w:rPr>
          <w:sz w:val="16"/>
        </w:rPr>
        <w:t>units leased on a per bed basis converted to "vacant unit equivalents."</w:t>
      </w:r>
    </w:p>
    <w:p>
      <w:pPr>
        <w:pStyle w:val="BodyText"/>
        <w:spacing w:before="1"/>
        <w:rPr>
          <w:rFonts w:ascii="Arial MT"/>
          <w:sz w:val="16"/>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2021.</w:t>
      </w:r>
    </w:p>
    <w:p>
      <w:pPr>
        <w:pStyle w:val="BodyText"/>
        <w:spacing w:before="166"/>
        <w:rPr>
          <w:rFonts w:ascii="Arial MT"/>
          <w:sz w:val="16"/>
        </w:rPr>
      </w:pPr>
    </w:p>
    <w:p>
      <w:pPr>
        <w:spacing w:before="0"/>
        <w:ind w:left="1008" w:right="0" w:firstLine="0"/>
        <w:jc w:val="left"/>
        <w:rPr>
          <w:i/>
          <w:sz w:val="22"/>
        </w:rPr>
      </w:pPr>
      <w:r>
        <w:rPr>
          <w:i/>
          <w:sz w:val="22"/>
        </w:rPr>
        <w:t>Rental</w:t>
      </w:r>
      <w:r>
        <w:rPr>
          <w:i/>
          <w:spacing w:val="58"/>
          <w:sz w:val="22"/>
        </w:rPr>
        <w:t> </w:t>
      </w:r>
      <w:r>
        <w:rPr>
          <w:i/>
          <w:spacing w:val="-2"/>
          <w:sz w:val="22"/>
        </w:rPr>
        <w:t>Rates</w:t>
      </w:r>
    </w:p>
    <w:p>
      <w:pPr>
        <w:pStyle w:val="BodyText"/>
        <w:spacing w:line="288" w:lineRule="auto" w:before="51"/>
        <w:ind w:left="1008" w:right="1001"/>
      </w:pPr>
      <w:r>
        <w:rPr/>
        <w:t>Only</w:t>
      </w:r>
      <w:r>
        <w:rPr>
          <w:spacing w:val="-3"/>
        </w:rPr>
        <w:t> </w:t>
      </w:r>
      <w:r>
        <w:rPr/>
        <w:t>nine</w:t>
      </w:r>
      <w:r>
        <w:rPr>
          <w:spacing w:val="-3"/>
        </w:rPr>
        <w:t> </w:t>
      </w:r>
      <w:r>
        <w:rPr/>
        <w:t>percent</w:t>
      </w:r>
      <w:r>
        <w:rPr>
          <w:spacing w:val="-7"/>
        </w:rPr>
        <w:t> </w:t>
      </w:r>
      <w:r>
        <w:rPr/>
        <w:t>of</w:t>
      </w:r>
      <w:r>
        <w:rPr>
          <w:spacing w:val="-2"/>
        </w:rPr>
        <w:t> </w:t>
      </w:r>
      <w:r>
        <w:rPr/>
        <w:t>respondents</w:t>
      </w:r>
      <w:r>
        <w:rPr>
          <w:spacing w:val="-3"/>
        </w:rPr>
        <w:t> </w:t>
      </w:r>
      <w:r>
        <w:rPr/>
        <w:t>reported</w:t>
      </w:r>
      <w:r>
        <w:rPr>
          <w:spacing w:val="-3"/>
        </w:rPr>
        <w:t> </w:t>
      </w:r>
      <w:r>
        <w:rPr/>
        <w:t>decreasing</w:t>
      </w:r>
      <w:r>
        <w:rPr>
          <w:spacing w:val="-3"/>
        </w:rPr>
        <w:t> </w:t>
      </w:r>
      <w:r>
        <w:rPr/>
        <w:t>rental</w:t>
      </w:r>
      <w:r>
        <w:rPr>
          <w:spacing w:val="-3"/>
        </w:rPr>
        <w:t> </w:t>
      </w:r>
      <w:r>
        <w:rPr/>
        <w:t>rates</w:t>
      </w:r>
      <w:r>
        <w:rPr>
          <w:spacing w:val="-3"/>
        </w:rPr>
        <w:t> </w:t>
      </w:r>
      <w:r>
        <w:rPr/>
        <w:t>relative</w:t>
      </w:r>
      <w:r>
        <w:rPr>
          <w:spacing w:val="-3"/>
        </w:rPr>
        <w:t> </w:t>
      </w:r>
      <w:r>
        <w:rPr/>
        <w:t>to</w:t>
      </w:r>
      <w:r>
        <w:rPr>
          <w:spacing w:val="-3"/>
        </w:rPr>
        <w:t> </w:t>
      </w:r>
      <w:r>
        <w:rPr/>
        <w:t>the</w:t>
      </w:r>
      <w:r>
        <w:rPr>
          <w:spacing w:val="-3"/>
        </w:rPr>
        <w:t> </w:t>
      </w:r>
      <w:r>
        <w:rPr/>
        <w:t>prior</w:t>
      </w:r>
      <w:r>
        <w:rPr>
          <w:spacing w:val="-3"/>
        </w:rPr>
        <w:t> </w:t>
      </w:r>
      <w:r>
        <w:rPr/>
        <w:t>leasing period.</w:t>
      </w:r>
      <w:r>
        <w:rPr>
          <w:spacing w:val="35"/>
        </w:rPr>
        <w:t> </w:t>
      </w:r>
      <w:r>
        <w:rPr/>
        <w:t>This</w:t>
      </w:r>
      <w:r>
        <w:rPr>
          <w:spacing w:val="-9"/>
        </w:rPr>
        <w:t> </w:t>
      </w:r>
      <w:r>
        <w:rPr/>
        <w:t>is</w:t>
      </w:r>
      <w:r>
        <w:rPr>
          <w:spacing w:val="-11"/>
        </w:rPr>
        <w:t> </w:t>
      </w:r>
      <w:r>
        <w:rPr/>
        <w:t>slightly</w:t>
      </w:r>
      <w:r>
        <w:rPr>
          <w:spacing w:val="-10"/>
        </w:rPr>
        <w:t> </w:t>
      </w:r>
      <w:r>
        <w:rPr/>
        <w:t>higher</w:t>
      </w:r>
      <w:r>
        <w:rPr>
          <w:spacing w:val="-10"/>
        </w:rPr>
        <w:t> </w:t>
      </w:r>
      <w:r>
        <w:rPr/>
        <w:t>than</w:t>
      </w:r>
      <w:r>
        <w:rPr>
          <w:spacing w:val="-9"/>
        </w:rPr>
        <w:t> </w:t>
      </w:r>
      <w:r>
        <w:rPr/>
        <w:t>the</w:t>
      </w:r>
      <w:r>
        <w:rPr>
          <w:spacing w:val="-11"/>
        </w:rPr>
        <w:t> </w:t>
      </w:r>
      <w:r>
        <w:rPr/>
        <w:t>historical</w:t>
      </w:r>
      <w:r>
        <w:rPr>
          <w:spacing w:val="-12"/>
        </w:rPr>
        <w:t> </w:t>
      </w:r>
      <w:r>
        <w:rPr/>
        <w:t>average,</w:t>
      </w:r>
      <w:r>
        <w:rPr>
          <w:spacing w:val="-9"/>
        </w:rPr>
        <w:t> </w:t>
      </w:r>
      <w:r>
        <w:rPr/>
        <w:t>of</w:t>
      </w:r>
      <w:r>
        <w:rPr>
          <w:spacing w:val="-9"/>
        </w:rPr>
        <w:t> </w:t>
      </w:r>
      <w:r>
        <w:rPr/>
        <w:t>between</w:t>
      </w:r>
      <w:r>
        <w:rPr>
          <w:spacing w:val="-9"/>
        </w:rPr>
        <w:t> </w:t>
      </w:r>
      <w:r>
        <w:rPr/>
        <w:t>zero</w:t>
      </w:r>
      <w:r>
        <w:rPr>
          <w:spacing w:val="-11"/>
        </w:rPr>
        <w:t> </w:t>
      </w:r>
      <w:r>
        <w:rPr/>
        <w:t>and</w:t>
      </w:r>
      <w:r>
        <w:rPr>
          <w:spacing w:val="-11"/>
        </w:rPr>
        <w:t> </w:t>
      </w:r>
      <w:r>
        <w:rPr/>
        <w:t>five</w:t>
      </w:r>
      <w:r>
        <w:rPr>
          <w:spacing w:val="-9"/>
        </w:rPr>
        <w:t> </w:t>
      </w:r>
      <w:r>
        <w:rPr/>
        <w:t>percent,</w:t>
      </w:r>
      <w:r>
        <w:rPr>
          <w:spacing w:val="-9"/>
        </w:rPr>
        <w:t> </w:t>
      </w:r>
      <w:r>
        <w:rPr/>
        <w:t>but is significantly lower than the 2020 survey where over one-third of respondents reported decreasing rents to help</w:t>
      </w:r>
      <w:r>
        <w:rPr>
          <w:spacing w:val="-2"/>
        </w:rPr>
        <w:t> </w:t>
      </w:r>
      <w:r>
        <w:rPr/>
        <w:t>fill vacancies.</w:t>
      </w:r>
      <w:r>
        <w:rPr>
          <w:spacing w:val="40"/>
        </w:rPr>
        <w:t> </w:t>
      </w:r>
      <w:r>
        <w:rPr/>
        <w:t>Generally,</w:t>
      </w:r>
      <w:r>
        <w:rPr>
          <w:spacing w:val="-2"/>
        </w:rPr>
        <w:t> </w:t>
      </w:r>
      <w:r>
        <w:rPr/>
        <w:t>complexes lowered rents by</w:t>
      </w:r>
      <w:r>
        <w:rPr>
          <w:spacing w:val="-1"/>
        </w:rPr>
        <w:t> </w:t>
      </w:r>
      <w:r>
        <w:rPr/>
        <w:t>between two and 30 percent, with an average rent reduction of around ten percent.</w:t>
      </w:r>
    </w:p>
    <w:p>
      <w:pPr>
        <w:pStyle w:val="BodyText"/>
        <w:spacing w:before="53"/>
      </w:pPr>
    </w:p>
    <w:p>
      <w:pPr>
        <w:spacing w:before="1"/>
        <w:ind w:left="1008" w:right="0" w:firstLine="0"/>
        <w:jc w:val="left"/>
        <w:rPr>
          <w:i/>
          <w:sz w:val="22"/>
        </w:rPr>
      </w:pPr>
      <w:r>
        <w:rPr>
          <w:i/>
          <w:sz w:val="22"/>
        </w:rPr>
        <w:t>Unit</w:t>
      </w:r>
      <w:r>
        <w:rPr>
          <w:i/>
          <w:spacing w:val="-7"/>
          <w:sz w:val="22"/>
        </w:rPr>
        <w:t> </w:t>
      </w:r>
      <w:r>
        <w:rPr>
          <w:i/>
          <w:spacing w:val="-2"/>
          <w:sz w:val="22"/>
        </w:rPr>
        <w:t>Leases</w:t>
      </w:r>
    </w:p>
    <w:p>
      <w:pPr>
        <w:pStyle w:val="BodyText"/>
        <w:spacing w:line="288" w:lineRule="auto" w:before="51"/>
        <w:ind w:left="1008" w:right="1001"/>
      </w:pPr>
      <w:r>
        <w:rPr/>
        <w:t>Table</w:t>
      </w:r>
      <w:r>
        <w:rPr>
          <w:spacing w:val="-5"/>
        </w:rPr>
        <w:t> </w:t>
      </w:r>
      <w:r>
        <w:rPr/>
        <w:t>4</w:t>
      </w:r>
      <w:r>
        <w:rPr>
          <w:spacing w:val="-5"/>
        </w:rPr>
        <w:t> </w:t>
      </w:r>
      <w:r>
        <w:rPr/>
        <w:t>reports</w:t>
      </w:r>
      <w:r>
        <w:rPr>
          <w:spacing w:val="-5"/>
        </w:rPr>
        <w:t> </w:t>
      </w:r>
      <w:r>
        <w:rPr/>
        <w:t>the</w:t>
      </w:r>
      <w:r>
        <w:rPr>
          <w:spacing w:val="-5"/>
        </w:rPr>
        <w:t> </w:t>
      </w:r>
      <w:r>
        <w:rPr/>
        <w:t>range</w:t>
      </w:r>
      <w:r>
        <w:rPr>
          <w:spacing w:val="-7"/>
        </w:rPr>
        <w:t> </w:t>
      </w:r>
      <w:r>
        <w:rPr/>
        <w:t>and</w:t>
      </w:r>
      <w:r>
        <w:rPr>
          <w:spacing w:val="-6"/>
        </w:rPr>
        <w:t> </w:t>
      </w:r>
      <w:r>
        <w:rPr/>
        <w:t>weighted</w:t>
      </w:r>
      <w:r>
        <w:rPr>
          <w:spacing w:val="-7"/>
        </w:rPr>
        <w:t> </w:t>
      </w:r>
      <w:r>
        <w:rPr/>
        <w:t>average</w:t>
      </w:r>
      <w:r>
        <w:rPr>
          <w:spacing w:val="-8"/>
        </w:rPr>
        <w:t> </w:t>
      </w:r>
      <w:r>
        <w:rPr/>
        <w:t>of</w:t>
      </w:r>
      <w:r>
        <w:rPr>
          <w:spacing w:val="-4"/>
        </w:rPr>
        <w:t> </w:t>
      </w:r>
      <w:r>
        <w:rPr/>
        <w:t>the</w:t>
      </w:r>
      <w:r>
        <w:rPr>
          <w:spacing w:val="-5"/>
        </w:rPr>
        <w:t> </w:t>
      </w:r>
      <w:r>
        <w:rPr/>
        <w:t>reported</w:t>
      </w:r>
      <w:r>
        <w:rPr>
          <w:spacing w:val="-5"/>
        </w:rPr>
        <w:t> </w:t>
      </w:r>
      <w:r>
        <w:rPr/>
        <w:t>rental</w:t>
      </w:r>
      <w:r>
        <w:rPr>
          <w:spacing w:val="-5"/>
        </w:rPr>
        <w:t> </w:t>
      </w:r>
      <w:r>
        <w:rPr/>
        <w:t>rates</w:t>
      </w:r>
      <w:r>
        <w:rPr>
          <w:spacing w:val="-7"/>
        </w:rPr>
        <w:t> </w:t>
      </w:r>
      <w:r>
        <w:rPr/>
        <w:t>for</w:t>
      </w:r>
      <w:r>
        <w:rPr>
          <w:spacing w:val="-6"/>
        </w:rPr>
        <w:t> </w:t>
      </w:r>
      <w:r>
        <w:rPr/>
        <w:t>apartments leased</w:t>
      </w:r>
      <w:r>
        <w:rPr>
          <w:spacing w:val="-11"/>
        </w:rPr>
        <w:t> </w:t>
      </w:r>
      <w:r>
        <w:rPr/>
        <w:t>under</w:t>
      </w:r>
      <w:r>
        <w:rPr>
          <w:spacing w:val="-10"/>
        </w:rPr>
        <w:t> </w:t>
      </w:r>
      <w:r>
        <w:rPr/>
        <w:t>unit</w:t>
      </w:r>
      <w:r>
        <w:rPr>
          <w:spacing w:val="-9"/>
        </w:rPr>
        <w:t> </w:t>
      </w:r>
      <w:r>
        <w:rPr/>
        <w:t>lease</w:t>
      </w:r>
      <w:r>
        <w:rPr>
          <w:spacing w:val="-9"/>
        </w:rPr>
        <w:t> </w:t>
      </w:r>
      <w:r>
        <w:rPr/>
        <w:t>arrangements.</w:t>
      </w:r>
      <w:r>
        <w:rPr>
          <w:spacing w:val="36"/>
        </w:rPr>
        <w:t> </w:t>
      </w:r>
      <w:r>
        <w:rPr/>
        <w:t>Note</w:t>
      </w:r>
      <w:r>
        <w:rPr>
          <w:spacing w:val="-9"/>
        </w:rPr>
        <w:t> </w:t>
      </w:r>
      <w:r>
        <w:rPr/>
        <w:t>that</w:t>
      </w:r>
      <w:r>
        <w:rPr>
          <w:spacing w:val="-10"/>
        </w:rPr>
        <w:t> </w:t>
      </w:r>
      <w:r>
        <w:rPr/>
        <w:t>the</w:t>
      </w:r>
      <w:r>
        <w:rPr>
          <w:spacing w:val="-9"/>
        </w:rPr>
        <w:t> </w:t>
      </w:r>
      <w:r>
        <w:rPr/>
        <w:t>survey</w:t>
      </w:r>
      <w:r>
        <w:rPr>
          <w:spacing w:val="-9"/>
        </w:rPr>
        <w:t> </w:t>
      </w:r>
      <w:r>
        <w:rPr/>
        <w:t>results</w:t>
      </w:r>
      <w:r>
        <w:rPr>
          <w:spacing w:val="-9"/>
        </w:rPr>
        <w:t> </w:t>
      </w:r>
      <w:r>
        <w:rPr/>
        <w:t>reported</w:t>
      </w:r>
      <w:r>
        <w:rPr>
          <w:spacing w:val="-11"/>
        </w:rPr>
        <w:t> </w:t>
      </w:r>
      <w:r>
        <w:rPr/>
        <w:t>here</w:t>
      </w:r>
      <w:r>
        <w:rPr>
          <w:spacing w:val="-9"/>
        </w:rPr>
        <w:t> </w:t>
      </w:r>
      <w:r>
        <w:rPr/>
        <w:t>represent properties for which respondents reported both the total number of units, by type, and the</w:t>
      </w:r>
    </w:p>
    <w:p>
      <w:pPr>
        <w:pStyle w:val="BodyText"/>
        <w:spacing w:before="8"/>
        <w:rPr>
          <w:sz w:val="14"/>
        </w:rPr>
      </w:pPr>
      <w:r>
        <w:rPr>
          <w:sz w:val="14"/>
        </w:rPr>
        <mc:AlternateContent>
          <mc:Choice Requires="wps">
            <w:drawing>
              <wp:anchor distT="0" distB="0" distL="0" distR="0" allowOverlap="1" layoutInCell="1" locked="0" behindDoc="1" simplePos="0" relativeHeight="487592448">
                <wp:simplePos x="0" y="0"/>
                <wp:positionH relativeFrom="page">
                  <wp:posOffset>1097584</wp:posOffset>
                </wp:positionH>
                <wp:positionV relativeFrom="paragraph">
                  <wp:posOffset>121695</wp:posOffset>
                </wp:positionV>
                <wp:extent cx="1829435" cy="762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24004pt;margin-top:9.582287pt;width:144.020pt;height:.60004pt;mso-position-horizontal-relative:page;mso-position-vertical-relative:paragraph;z-index:-15724032;mso-wrap-distance-left:0;mso-wrap-distance-right:0" id="docshape56" filled="true" fillcolor="#000000" stroked="false">
                <v:fill type="solid"/>
                <w10:wrap type="topAndBottom"/>
              </v:rect>
            </w:pict>
          </mc:Fallback>
        </mc:AlternateContent>
      </w:r>
    </w:p>
    <w:p>
      <w:pPr>
        <w:pStyle w:val="BodyText"/>
        <w:rPr>
          <w:sz w:val="19"/>
        </w:rPr>
      </w:pPr>
    </w:p>
    <w:p>
      <w:pPr>
        <w:pStyle w:val="BodyText"/>
        <w:spacing w:before="47"/>
        <w:rPr>
          <w:sz w:val="19"/>
        </w:rPr>
      </w:pPr>
    </w:p>
    <w:p>
      <w:pPr>
        <w:spacing w:line="333" w:lineRule="auto" w:before="1"/>
        <w:ind w:left="1008" w:right="1001" w:firstLine="0"/>
        <w:jc w:val="left"/>
        <w:rPr>
          <w:sz w:val="19"/>
        </w:rPr>
      </w:pPr>
      <w:r>
        <w:rPr>
          <w:position w:val="5"/>
          <w:sz w:val="12"/>
        </w:rPr>
        <w:t>4</w:t>
      </w:r>
      <w:r>
        <w:rPr>
          <w:spacing w:val="10"/>
          <w:position w:val="5"/>
          <w:sz w:val="12"/>
        </w:rPr>
        <w:t> </w:t>
      </w:r>
      <w:r>
        <w:rPr>
          <w:sz w:val="19"/>
        </w:rPr>
        <w:t>To</w:t>
      </w:r>
      <w:r>
        <w:rPr>
          <w:spacing w:val="-8"/>
          <w:sz w:val="19"/>
        </w:rPr>
        <w:t> </w:t>
      </w:r>
      <w:r>
        <w:rPr>
          <w:sz w:val="19"/>
        </w:rPr>
        <w:t>calculate</w:t>
      </w:r>
      <w:r>
        <w:rPr>
          <w:spacing w:val="-7"/>
          <w:sz w:val="19"/>
        </w:rPr>
        <w:t> </w:t>
      </w:r>
      <w:r>
        <w:rPr>
          <w:sz w:val="19"/>
        </w:rPr>
        <w:t>the</w:t>
      </w:r>
      <w:r>
        <w:rPr>
          <w:spacing w:val="-7"/>
          <w:sz w:val="19"/>
        </w:rPr>
        <w:t> </w:t>
      </w:r>
      <w:r>
        <w:rPr>
          <w:sz w:val="19"/>
        </w:rPr>
        <w:t>“blended”</w:t>
      </w:r>
      <w:r>
        <w:rPr>
          <w:spacing w:val="-7"/>
          <w:sz w:val="19"/>
        </w:rPr>
        <w:t> </w:t>
      </w:r>
      <w:r>
        <w:rPr>
          <w:sz w:val="19"/>
        </w:rPr>
        <w:t>vacancy</w:t>
      </w:r>
      <w:r>
        <w:rPr>
          <w:spacing w:val="-6"/>
          <w:sz w:val="19"/>
        </w:rPr>
        <w:t> </w:t>
      </w:r>
      <w:r>
        <w:rPr>
          <w:sz w:val="19"/>
        </w:rPr>
        <w:t>rate,</w:t>
      </w:r>
      <w:r>
        <w:rPr>
          <w:spacing w:val="-7"/>
          <w:sz w:val="19"/>
        </w:rPr>
        <w:t> </w:t>
      </w:r>
      <w:r>
        <w:rPr>
          <w:sz w:val="19"/>
        </w:rPr>
        <w:t>BAE</w:t>
      </w:r>
      <w:r>
        <w:rPr>
          <w:spacing w:val="-8"/>
          <w:sz w:val="19"/>
        </w:rPr>
        <w:t> </w:t>
      </w:r>
      <w:r>
        <w:rPr>
          <w:sz w:val="19"/>
        </w:rPr>
        <w:t>calculated</w:t>
      </w:r>
      <w:r>
        <w:rPr>
          <w:spacing w:val="-7"/>
          <w:sz w:val="19"/>
        </w:rPr>
        <w:t> </w:t>
      </w:r>
      <w:r>
        <w:rPr>
          <w:sz w:val="19"/>
        </w:rPr>
        <w:t>the</w:t>
      </w:r>
      <w:r>
        <w:rPr>
          <w:spacing w:val="-7"/>
          <w:sz w:val="19"/>
        </w:rPr>
        <w:t> </w:t>
      </w:r>
      <w:r>
        <w:rPr>
          <w:sz w:val="19"/>
        </w:rPr>
        <w:t>bed</w:t>
      </w:r>
      <w:r>
        <w:rPr>
          <w:spacing w:val="-7"/>
          <w:sz w:val="19"/>
        </w:rPr>
        <w:t> </w:t>
      </w:r>
      <w:r>
        <w:rPr>
          <w:sz w:val="19"/>
        </w:rPr>
        <w:t>lease</w:t>
      </w:r>
      <w:r>
        <w:rPr>
          <w:spacing w:val="-7"/>
          <w:sz w:val="19"/>
        </w:rPr>
        <w:t> </w:t>
      </w:r>
      <w:r>
        <w:rPr>
          <w:sz w:val="19"/>
        </w:rPr>
        <w:t>vacancy</w:t>
      </w:r>
      <w:r>
        <w:rPr>
          <w:spacing w:val="-6"/>
          <w:sz w:val="19"/>
        </w:rPr>
        <w:t> </w:t>
      </w:r>
      <w:r>
        <w:rPr>
          <w:sz w:val="19"/>
        </w:rPr>
        <w:t>rate</w:t>
      </w:r>
      <w:r>
        <w:rPr>
          <w:spacing w:val="-8"/>
          <w:sz w:val="19"/>
        </w:rPr>
        <w:t> </w:t>
      </w:r>
      <w:r>
        <w:rPr>
          <w:sz w:val="19"/>
        </w:rPr>
        <w:t>on</w:t>
      </w:r>
      <w:r>
        <w:rPr>
          <w:spacing w:val="-7"/>
          <w:sz w:val="19"/>
        </w:rPr>
        <w:t> </w:t>
      </w:r>
      <w:r>
        <w:rPr>
          <w:sz w:val="19"/>
        </w:rPr>
        <w:t>a</w:t>
      </w:r>
      <w:r>
        <w:rPr>
          <w:spacing w:val="-9"/>
          <w:sz w:val="19"/>
        </w:rPr>
        <w:t> </w:t>
      </w:r>
      <w:r>
        <w:rPr>
          <w:sz w:val="19"/>
        </w:rPr>
        <w:t>per</w:t>
      </w:r>
      <w:r>
        <w:rPr>
          <w:spacing w:val="-1"/>
          <w:sz w:val="19"/>
        </w:rPr>
        <w:t> </w:t>
      </w:r>
      <w:r>
        <w:rPr>
          <w:sz w:val="19"/>
        </w:rPr>
        <w:t>bed</w:t>
      </w:r>
      <w:r>
        <w:rPr>
          <w:spacing w:val="-7"/>
          <w:sz w:val="19"/>
        </w:rPr>
        <w:t> </w:t>
      </w:r>
      <w:r>
        <w:rPr>
          <w:sz w:val="19"/>
        </w:rPr>
        <w:t>basis,</w:t>
      </w:r>
      <w:r>
        <w:rPr>
          <w:spacing w:val="-7"/>
          <w:sz w:val="19"/>
        </w:rPr>
        <w:t> </w:t>
      </w:r>
      <w:r>
        <w:rPr>
          <w:sz w:val="19"/>
        </w:rPr>
        <w:t>then applied that rate to the total number of bed-leased units.</w:t>
      </w:r>
      <w:r>
        <w:rPr>
          <w:spacing w:val="40"/>
          <w:sz w:val="19"/>
        </w:rPr>
        <w:t> </w:t>
      </w:r>
      <w:r>
        <w:rPr>
          <w:sz w:val="19"/>
        </w:rPr>
        <w:t>The resulting “vacant unit equivalents” were then added to</w:t>
      </w:r>
      <w:r>
        <w:rPr>
          <w:spacing w:val="-1"/>
          <w:sz w:val="19"/>
        </w:rPr>
        <w:t> </w:t>
      </w:r>
      <w:r>
        <w:rPr>
          <w:sz w:val="19"/>
        </w:rPr>
        <w:t>the total number</w:t>
      </w:r>
      <w:r>
        <w:rPr>
          <w:spacing w:val="-1"/>
          <w:sz w:val="19"/>
        </w:rPr>
        <w:t> </w:t>
      </w:r>
      <w:r>
        <w:rPr>
          <w:sz w:val="19"/>
        </w:rPr>
        <w:t>of vacant</w:t>
      </w:r>
      <w:r>
        <w:rPr>
          <w:spacing w:val="-1"/>
          <w:sz w:val="19"/>
        </w:rPr>
        <w:t> </w:t>
      </w:r>
      <w:r>
        <w:rPr>
          <w:sz w:val="19"/>
        </w:rPr>
        <w:t>unit-leased apartments to</w:t>
      </w:r>
      <w:r>
        <w:rPr>
          <w:spacing w:val="-1"/>
          <w:sz w:val="19"/>
        </w:rPr>
        <w:t> </w:t>
      </w:r>
      <w:r>
        <w:rPr>
          <w:sz w:val="19"/>
        </w:rPr>
        <w:t>calculate the combined vacancy rate.</w:t>
      </w:r>
    </w:p>
    <w:p>
      <w:pPr>
        <w:spacing w:after="0" w:line="333" w:lineRule="auto"/>
        <w:jc w:val="left"/>
        <w:rPr>
          <w:sz w:val="19"/>
        </w:rPr>
        <w:sectPr>
          <w:pgSz w:w="12240" w:h="15840"/>
          <w:pgMar w:header="0" w:footer="502" w:top="1700" w:bottom="700" w:left="720" w:right="720"/>
        </w:sectPr>
      </w:pPr>
    </w:p>
    <w:p>
      <w:pPr>
        <w:pStyle w:val="BodyText"/>
        <w:spacing w:line="288" w:lineRule="auto" w:before="78"/>
        <w:ind w:left="1008" w:right="1001"/>
      </w:pPr>
      <w:r>
        <w:rPr/>
        <w:t>corresponding rental rate information.</w:t>
      </w:r>
      <w:r>
        <w:rPr>
          <w:spacing w:val="40"/>
        </w:rPr>
        <w:t> </w:t>
      </w:r>
      <w:r>
        <w:rPr/>
        <w:t>Based</w:t>
      </w:r>
      <w:r>
        <w:rPr>
          <w:spacing w:val="-2"/>
        </w:rPr>
        <w:t> </w:t>
      </w:r>
      <w:r>
        <w:rPr/>
        <w:t>on this</w:t>
      </w:r>
      <w:r>
        <w:rPr>
          <w:spacing w:val="-2"/>
        </w:rPr>
        <w:t> </w:t>
      </w:r>
      <w:r>
        <w:rPr/>
        <w:t>information,</w:t>
      </w:r>
      <w:r>
        <w:rPr>
          <w:spacing w:val="-2"/>
        </w:rPr>
        <w:t> </w:t>
      </w:r>
      <w:r>
        <w:rPr/>
        <w:t>the</w:t>
      </w:r>
      <w:r>
        <w:rPr>
          <w:spacing w:val="-2"/>
        </w:rPr>
        <w:t> </w:t>
      </w:r>
      <w:r>
        <w:rPr/>
        <w:t>average</w:t>
      </w:r>
      <w:r>
        <w:rPr>
          <w:spacing w:val="-3"/>
        </w:rPr>
        <w:t> </w:t>
      </w:r>
      <w:r>
        <w:rPr/>
        <w:t>rental rate</w:t>
      </w:r>
      <w:r>
        <w:rPr>
          <w:spacing w:val="-2"/>
        </w:rPr>
        <w:t> </w:t>
      </w:r>
      <w:r>
        <w:rPr/>
        <w:t>for all</w:t>
      </w:r>
      <w:r>
        <w:rPr>
          <w:spacing w:val="-7"/>
        </w:rPr>
        <w:t> </w:t>
      </w:r>
      <w:r>
        <w:rPr/>
        <w:t>units</w:t>
      </w:r>
      <w:r>
        <w:rPr>
          <w:spacing w:val="-8"/>
        </w:rPr>
        <w:t> </w:t>
      </w:r>
      <w:r>
        <w:rPr/>
        <w:t>was</w:t>
      </w:r>
      <w:r>
        <w:rPr>
          <w:spacing w:val="-6"/>
        </w:rPr>
        <w:t> </w:t>
      </w:r>
      <w:r>
        <w:rPr/>
        <w:t>$2,034</w:t>
      </w:r>
      <w:r>
        <w:rPr>
          <w:spacing w:val="-6"/>
        </w:rPr>
        <w:t> </w:t>
      </w:r>
      <w:r>
        <w:rPr/>
        <w:t>per</w:t>
      </w:r>
      <w:r>
        <w:rPr>
          <w:spacing w:val="-10"/>
        </w:rPr>
        <w:t> </w:t>
      </w:r>
      <w:r>
        <w:rPr/>
        <w:t>month.</w:t>
      </w:r>
      <w:r>
        <w:rPr>
          <w:position w:val="5"/>
          <w:sz w:val="14"/>
        </w:rPr>
        <w:t>5</w:t>
      </w:r>
      <w:r>
        <w:rPr>
          <w:spacing w:val="64"/>
          <w:position w:val="5"/>
          <w:sz w:val="14"/>
        </w:rPr>
        <w:t> </w:t>
      </w:r>
      <w:r>
        <w:rPr/>
        <w:t>This</w:t>
      </w:r>
      <w:r>
        <w:rPr>
          <w:spacing w:val="-6"/>
        </w:rPr>
        <w:t> </w:t>
      </w:r>
      <w:r>
        <w:rPr/>
        <w:t>represents</w:t>
      </w:r>
      <w:r>
        <w:rPr>
          <w:spacing w:val="-6"/>
        </w:rPr>
        <w:t> </w:t>
      </w:r>
      <w:r>
        <w:rPr/>
        <w:t>a</w:t>
      </w:r>
      <w:r>
        <w:rPr>
          <w:spacing w:val="-7"/>
        </w:rPr>
        <w:t> </w:t>
      </w:r>
      <w:r>
        <w:rPr/>
        <w:t>4.7</w:t>
      </w:r>
      <w:r>
        <w:rPr>
          <w:spacing w:val="-6"/>
        </w:rPr>
        <w:t> </w:t>
      </w:r>
      <w:r>
        <w:rPr/>
        <w:t>percent</w:t>
      </w:r>
      <w:r>
        <w:rPr>
          <w:spacing w:val="-7"/>
        </w:rPr>
        <w:t> </w:t>
      </w:r>
      <w:r>
        <w:rPr/>
        <w:t>increase</w:t>
      </w:r>
      <w:r>
        <w:rPr>
          <w:spacing w:val="-8"/>
        </w:rPr>
        <w:t> </w:t>
      </w:r>
      <w:r>
        <w:rPr/>
        <w:t>over</w:t>
      </w:r>
      <w:r>
        <w:rPr>
          <w:spacing w:val="-10"/>
        </w:rPr>
        <w:t> </w:t>
      </w:r>
      <w:r>
        <w:rPr/>
        <w:t>2020,</w:t>
      </w:r>
      <w:r>
        <w:rPr>
          <w:spacing w:val="-6"/>
        </w:rPr>
        <w:t> </w:t>
      </w:r>
      <w:r>
        <w:rPr/>
        <w:t>when</w:t>
      </w:r>
      <w:r>
        <w:rPr>
          <w:spacing w:val="-6"/>
        </w:rPr>
        <w:t> </w:t>
      </w:r>
      <w:r>
        <w:rPr/>
        <w:t>the average</w:t>
      </w:r>
      <w:r>
        <w:rPr>
          <w:spacing w:val="-6"/>
        </w:rPr>
        <w:t> </w:t>
      </w:r>
      <w:r>
        <w:rPr/>
        <w:t>rental</w:t>
      </w:r>
      <w:r>
        <w:rPr>
          <w:spacing w:val="-6"/>
        </w:rPr>
        <w:t> </w:t>
      </w:r>
      <w:r>
        <w:rPr/>
        <w:t>rate</w:t>
      </w:r>
      <w:r>
        <w:rPr>
          <w:spacing w:val="-8"/>
        </w:rPr>
        <w:t> </w:t>
      </w:r>
      <w:r>
        <w:rPr/>
        <w:t>for</w:t>
      </w:r>
      <w:r>
        <w:rPr>
          <w:spacing w:val="-6"/>
        </w:rPr>
        <w:t> </w:t>
      </w:r>
      <w:r>
        <w:rPr/>
        <w:t>unit-leased</w:t>
      </w:r>
      <w:r>
        <w:rPr>
          <w:spacing w:val="-8"/>
        </w:rPr>
        <w:t> </w:t>
      </w:r>
      <w:r>
        <w:rPr/>
        <w:t>apartments</w:t>
      </w:r>
      <w:r>
        <w:rPr>
          <w:spacing w:val="-6"/>
        </w:rPr>
        <w:t> </w:t>
      </w:r>
      <w:r>
        <w:rPr/>
        <w:t>was</w:t>
      </w:r>
      <w:r>
        <w:rPr>
          <w:spacing w:val="-8"/>
        </w:rPr>
        <w:t> </w:t>
      </w:r>
      <w:r>
        <w:rPr/>
        <w:t>$1,943.</w:t>
      </w:r>
      <w:r>
        <w:rPr>
          <w:spacing w:val="40"/>
        </w:rPr>
        <w:t> </w:t>
      </w:r>
      <w:r>
        <w:rPr/>
        <w:t>This</w:t>
      </w:r>
      <w:r>
        <w:rPr>
          <w:spacing w:val="-6"/>
        </w:rPr>
        <w:t> </w:t>
      </w:r>
      <w:r>
        <w:rPr/>
        <w:t>rental</w:t>
      </w:r>
      <w:r>
        <w:rPr>
          <w:spacing w:val="-6"/>
        </w:rPr>
        <w:t> </w:t>
      </w:r>
      <w:r>
        <w:rPr/>
        <w:t>rate</w:t>
      </w:r>
      <w:r>
        <w:rPr>
          <w:spacing w:val="-6"/>
        </w:rPr>
        <w:t> </w:t>
      </w:r>
      <w:r>
        <w:rPr/>
        <w:t>increase</w:t>
      </w:r>
      <w:r>
        <w:rPr>
          <w:spacing w:val="-6"/>
        </w:rPr>
        <w:t> </w:t>
      </w:r>
      <w:r>
        <w:rPr/>
        <w:t>is</w:t>
      </w:r>
      <w:r>
        <w:rPr>
          <w:spacing w:val="-8"/>
        </w:rPr>
        <w:t> </w:t>
      </w:r>
      <w:r>
        <w:rPr/>
        <w:t>above the 2.2 percent increase recorded between 2019 and 2020, but is comparable to historical annual rent increases, which range from four to nine percent per year.</w:t>
      </w:r>
    </w:p>
    <w:p>
      <w:pPr>
        <w:pStyle w:val="BodyText"/>
        <w:spacing w:before="18"/>
      </w:pPr>
    </w:p>
    <w:p>
      <w:pPr>
        <w:tabs>
          <w:tab w:pos="9693" w:val="left" w:leader="none"/>
        </w:tabs>
        <w:spacing w:before="0"/>
        <w:ind w:left="1008" w:right="0" w:firstLine="0"/>
        <w:jc w:val="left"/>
        <w:rPr>
          <w:i/>
          <w:sz w:val="22"/>
        </w:rPr>
      </w:pPr>
      <w:r>
        <w:rPr>
          <w:i/>
          <w:sz w:val="22"/>
          <w:u w:val="single"/>
        </w:rPr>
        <w:t>Table</w:t>
      </w:r>
      <w:r>
        <w:rPr>
          <w:i/>
          <w:spacing w:val="-5"/>
          <w:sz w:val="22"/>
          <w:u w:val="single"/>
        </w:rPr>
        <w:t> </w:t>
      </w:r>
      <w:r>
        <w:rPr>
          <w:i/>
          <w:sz w:val="22"/>
          <w:u w:val="single"/>
        </w:rPr>
        <w:t>4:</w:t>
      </w:r>
      <w:r>
        <w:rPr>
          <w:i/>
          <w:spacing w:val="47"/>
          <w:sz w:val="22"/>
          <w:u w:val="single"/>
        </w:rPr>
        <w:t> </w:t>
      </w:r>
      <w:r>
        <w:rPr>
          <w:i/>
          <w:sz w:val="22"/>
          <w:u w:val="single"/>
        </w:rPr>
        <w:t>Rental</w:t>
      </w:r>
      <w:r>
        <w:rPr>
          <w:i/>
          <w:spacing w:val="-5"/>
          <w:sz w:val="22"/>
          <w:u w:val="single"/>
        </w:rPr>
        <w:t> </w:t>
      </w:r>
      <w:r>
        <w:rPr>
          <w:i/>
          <w:sz w:val="22"/>
          <w:u w:val="single"/>
        </w:rPr>
        <w:t>Rates</w:t>
      </w:r>
      <w:r>
        <w:rPr>
          <w:i/>
          <w:spacing w:val="-4"/>
          <w:sz w:val="22"/>
          <w:u w:val="single"/>
        </w:rPr>
        <w:t> </w:t>
      </w:r>
      <w:r>
        <w:rPr>
          <w:i/>
          <w:sz w:val="22"/>
          <w:u w:val="single"/>
        </w:rPr>
        <w:t>for</w:t>
      </w:r>
      <w:r>
        <w:rPr>
          <w:i/>
          <w:spacing w:val="-7"/>
          <w:sz w:val="22"/>
          <w:u w:val="single"/>
        </w:rPr>
        <w:t> </w:t>
      </w:r>
      <w:r>
        <w:rPr>
          <w:i/>
          <w:sz w:val="22"/>
          <w:u w:val="single"/>
        </w:rPr>
        <w:t>Unit</w:t>
      </w:r>
      <w:r>
        <w:rPr>
          <w:i/>
          <w:spacing w:val="-5"/>
          <w:sz w:val="22"/>
          <w:u w:val="single"/>
        </w:rPr>
        <w:t> </w:t>
      </w:r>
      <w:r>
        <w:rPr>
          <w:i/>
          <w:sz w:val="22"/>
          <w:u w:val="single"/>
        </w:rPr>
        <w:t>Leases</w:t>
      </w:r>
      <w:r>
        <w:rPr>
          <w:i/>
          <w:spacing w:val="-5"/>
          <w:sz w:val="22"/>
          <w:u w:val="single"/>
        </w:rPr>
        <w:t> </w:t>
      </w:r>
      <w:r>
        <w:rPr>
          <w:i/>
          <w:sz w:val="22"/>
          <w:u w:val="single"/>
        </w:rPr>
        <w:t>by</w:t>
      </w:r>
      <w:r>
        <w:rPr>
          <w:i/>
          <w:spacing w:val="-4"/>
          <w:sz w:val="22"/>
          <w:u w:val="single"/>
        </w:rPr>
        <w:t> </w:t>
      </w:r>
      <w:r>
        <w:rPr>
          <w:i/>
          <w:sz w:val="22"/>
          <w:u w:val="single"/>
        </w:rPr>
        <w:t>Unit</w:t>
      </w:r>
      <w:r>
        <w:rPr>
          <w:i/>
          <w:spacing w:val="-7"/>
          <w:sz w:val="22"/>
          <w:u w:val="single"/>
        </w:rPr>
        <w:t> </w:t>
      </w:r>
      <w:r>
        <w:rPr>
          <w:i/>
          <w:spacing w:val="-4"/>
          <w:sz w:val="22"/>
          <w:u w:val="single"/>
        </w:rPr>
        <w:t>Size</w:t>
      </w:r>
      <w:r>
        <w:rPr>
          <w:i/>
          <w:sz w:val="22"/>
          <w:u w:val="single"/>
        </w:rPr>
        <w:tab/>
      </w:r>
    </w:p>
    <w:p>
      <w:pPr>
        <w:pStyle w:val="BodyText"/>
        <w:spacing w:before="73"/>
        <w:rPr>
          <w:i/>
          <w:sz w:val="16"/>
        </w:rPr>
      </w:pPr>
    </w:p>
    <w:p>
      <w:pPr>
        <w:tabs>
          <w:tab w:pos="5883" w:val="left" w:leader="none"/>
          <w:tab w:pos="7038" w:val="left" w:leader="none"/>
        </w:tabs>
        <w:spacing w:before="0" w:after="19"/>
        <w:ind w:left="3153" w:right="0" w:firstLine="0"/>
        <w:jc w:val="left"/>
        <w:rPr>
          <w:rFonts w:ascii="Arial"/>
          <w:b/>
          <w:sz w:val="16"/>
        </w:rPr>
      </w:pPr>
      <w:r>
        <w:rPr>
          <w:rFonts w:ascii="Arial"/>
          <w:b/>
          <w:sz w:val="16"/>
        </w:rPr>
        <w:t>2021</w:t>
      </w:r>
      <w:r>
        <w:rPr>
          <w:rFonts w:ascii="Arial"/>
          <w:b/>
          <w:spacing w:val="14"/>
          <w:sz w:val="16"/>
        </w:rPr>
        <w:t> </w:t>
      </w:r>
      <w:r>
        <w:rPr>
          <w:rFonts w:ascii="Arial"/>
          <w:b/>
          <w:sz w:val="16"/>
        </w:rPr>
        <w:t>Survey</w:t>
      </w:r>
      <w:r>
        <w:rPr>
          <w:rFonts w:ascii="Arial"/>
          <w:b/>
          <w:spacing w:val="15"/>
          <w:sz w:val="16"/>
        </w:rPr>
        <w:t> </w:t>
      </w:r>
      <w:r>
        <w:rPr>
          <w:rFonts w:ascii="Arial"/>
          <w:b/>
          <w:spacing w:val="-2"/>
          <w:sz w:val="16"/>
        </w:rPr>
        <w:t>Results</w:t>
      </w:r>
      <w:r>
        <w:rPr>
          <w:rFonts w:ascii="Arial"/>
          <w:b/>
          <w:sz w:val="16"/>
        </w:rPr>
        <w:tab/>
      </w:r>
      <w:r>
        <w:rPr>
          <w:rFonts w:ascii="Arial"/>
          <w:b/>
          <w:spacing w:val="-4"/>
          <w:sz w:val="16"/>
        </w:rPr>
        <w:t>2020</w:t>
      </w:r>
      <w:r>
        <w:rPr>
          <w:rFonts w:ascii="Arial"/>
          <w:b/>
          <w:sz w:val="16"/>
        </w:rPr>
        <w:tab/>
      </w:r>
      <w:r>
        <w:rPr>
          <w:rFonts w:ascii="Arial"/>
          <w:b/>
          <w:spacing w:val="-4"/>
          <w:sz w:val="16"/>
        </w:rPr>
        <w:t>2019</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0"/>
        <w:gridCol w:w="164"/>
        <w:gridCol w:w="720"/>
        <w:gridCol w:w="164"/>
        <w:gridCol w:w="780"/>
        <w:gridCol w:w="165"/>
        <w:gridCol w:w="1005"/>
        <w:gridCol w:w="165"/>
        <w:gridCol w:w="1005"/>
        <w:gridCol w:w="165"/>
        <w:gridCol w:w="975"/>
      </w:tblGrid>
      <w:tr>
        <w:trPr>
          <w:trHeight w:val="197" w:hRule="atLeast"/>
        </w:trPr>
        <w:tc>
          <w:tcPr>
            <w:tcW w:w="5548" w:type="dxa"/>
            <w:gridSpan w:val="9"/>
          </w:tcPr>
          <w:p>
            <w:pPr>
              <w:pStyle w:val="TableParagraph"/>
              <w:spacing w:line="20" w:lineRule="exact"/>
              <w:ind w:left="1544"/>
              <w:rPr>
                <w:rFonts w:ascii="Arial"/>
                <w:sz w:val="2"/>
              </w:rPr>
            </w:pPr>
            <w:r>
              <w:rPr>
                <w:rFonts w:ascii="Arial"/>
                <w:sz w:val="2"/>
              </w:rPr>
              <mc:AlternateContent>
                <mc:Choice Requires="wps">
                  <w:drawing>
                    <wp:inline distT="0" distB="0" distL="0" distR="0">
                      <wp:extent cx="1800860" cy="10160"/>
                      <wp:effectExtent l="0" t="0" r="0" b="8890"/>
                      <wp:docPr id="67" name="Group 67"/>
                      <wp:cNvGraphicFramePr>
                        <a:graphicFrameLocks/>
                      </wp:cNvGraphicFramePr>
                      <a:graphic>
                        <a:graphicData uri="http://schemas.microsoft.com/office/word/2010/wordprocessingGroup">
                          <wpg:wgp>
                            <wpg:cNvPr id="67" name="Group 67"/>
                            <wpg:cNvGrpSpPr/>
                            <wpg:grpSpPr>
                              <a:xfrm>
                                <a:off x="0" y="0"/>
                                <a:ext cx="1800860" cy="10160"/>
                                <a:chExt cx="1800860" cy="10160"/>
                              </a:xfrm>
                            </wpg:grpSpPr>
                            <wps:wsp>
                              <wps:cNvPr id="68" name="Graphic 68"/>
                              <wps:cNvSpPr/>
                              <wps:spPr>
                                <a:xfrm>
                                  <a:off x="4754" y="4730"/>
                                  <a:ext cx="1791335" cy="1270"/>
                                </a:xfrm>
                                <a:custGeom>
                                  <a:avLst/>
                                  <a:gdLst/>
                                  <a:ahLst/>
                                  <a:cxnLst/>
                                  <a:rect l="l" t="t" r="r" b="b"/>
                                  <a:pathLst>
                                    <a:path w="1791335" h="0">
                                      <a:moveTo>
                                        <a:pt x="0" y="0"/>
                                      </a:moveTo>
                                      <a:lnTo>
                                        <a:pt x="1791004" y="0"/>
                                      </a:lnTo>
                                    </a:path>
                                  </a:pathLst>
                                </a:custGeom>
                                <a:ln w="9460">
                                  <a:solidFill>
                                    <a:srgbClr val="000000"/>
                                  </a:solidFill>
                                  <a:prstDash val="solid"/>
                                </a:ln>
                              </wps:spPr>
                              <wps:bodyPr wrap="square" lIns="0" tIns="0" rIns="0" bIns="0" rtlCol="0">
                                <a:prstTxWarp prst="textNoShape">
                                  <a:avLst/>
                                </a:prstTxWarp>
                                <a:noAutofit/>
                              </wps:bodyPr>
                            </wps:wsp>
                            <wps:wsp>
                              <wps:cNvPr id="69" name="Graphic 69"/>
                              <wps:cNvSpPr/>
                              <wps:spPr>
                                <a:xfrm>
                                  <a:off x="0" y="0"/>
                                  <a:ext cx="1800860" cy="10160"/>
                                </a:xfrm>
                                <a:custGeom>
                                  <a:avLst/>
                                  <a:gdLst/>
                                  <a:ahLst/>
                                  <a:cxnLst/>
                                  <a:rect l="l" t="t" r="r" b="b"/>
                                  <a:pathLst>
                                    <a:path w="1800860" h="10160">
                                      <a:moveTo>
                                        <a:pt x="1800514" y="0"/>
                                      </a:moveTo>
                                      <a:lnTo>
                                        <a:pt x="0" y="0"/>
                                      </a:lnTo>
                                      <a:lnTo>
                                        <a:pt x="0" y="9776"/>
                                      </a:lnTo>
                                      <a:lnTo>
                                        <a:pt x="1800514" y="9776"/>
                                      </a:lnTo>
                                      <a:lnTo>
                                        <a:pt x="180051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1.8pt;height:.8pt;mso-position-horizontal-relative:char;mso-position-vertical-relative:line" id="docshapegroup57" coordorigin="0,0" coordsize="2836,16">
                      <v:line style="position:absolute" from="7,7" to="2828,7" stroked="true" strokeweight=".744958pt" strokecolor="#000000">
                        <v:stroke dashstyle="solid"/>
                      </v:line>
                      <v:rect style="position:absolute;left:0;top:0;width:2836;height:16" id="docshape58" filled="true" fillcolor="#000000" stroked="false">
                        <v:fill type="solid"/>
                      </v:rect>
                    </v:group>
                  </w:pict>
                </mc:Fallback>
              </mc:AlternateContent>
            </w:r>
            <w:r>
              <w:rPr>
                <w:rFonts w:ascii="Arial"/>
                <w:sz w:val="2"/>
              </w:rPr>
            </w:r>
          </w:p>
          <w:p>
            <w:pPr>
              <w:pStyle w:val="TableParagraph"/>
              <w:tabs>
                <w:tab w:pos="4710" w:val="left" w:leader="none"/>
              </w:tabs>
              <w:spacing w:line="157" w:lineRule="exact"/>
              <w:ind w:left="3540"/>
              <w:rPr>
                <w:sz w:val="16"/>
              </w:rPr>
            </w:pPr>
            <w:r>
              <w:rPr>
                <w:spacing w:val="-2"/>
                <w:w w:val="105"/>
                <w:sz w:val="16"/>
              </w:rPr>
              <w:t>Weighted</w:t>
            </w:r>
            <w:r>
              <w:rPr>
                <w:sz w:val="16"/>
              </w:rPr>
              <w:tab/>
            </w:r>
            <w:r>
              <w:rPr>
                <w:spacing w:val="-2"/>
                <w:w w:val="105"/>
                <w:sz w:val="16"/>
              </w:rPr>
              <w:t>Weighted</w:t>
            </w:r>
          </w:p>
        </w:tc>
        <w:tc>
          <w:tcPr>
            <w:tcW w:w="165" w:type="dxa"/>
          </w:tcPr>
          <w:p>
            <w:pPr>
              <w:pStyle w:val="TableParagraph"/>
              <w:rPr>
                <w:rFonts w:ascii="Times New Roman"/>
                <w:sz w:val="12"/>
              </w:rPr>
            </w:pPr>
          </w:p>
        </w:tc>
        <w:tc>
          <w:tcPr>
            <w:tcW w:w="975" w:type="dxa"/>
            <w:tcBorders>
              <w:top w:val="single" w:sz="8" w:space="0" w:color="000000"/>
            </w:tcBorders>
          </w:tcPr>
          <w:p>
            <w:pPr>
              <w:pStyle w:val="TableParagraph"/>
              <w:spacing w:line="165" w:lineRule="exact" w:before="12"/>
              <w:ind w:left="152"/>
              <w:rPr>
                <w:sz w:val="16"/>
              </w:rPr>
            </w:pPr>
            <w:r>
              <w:rPr>
                <w:spacing w:val="-2"/>
                <w:w w:val="105"/>
                <w:sz w:val="16"/>
              </w:rPr>
              <w:t>Weighted</w:t>
            </w:r>
          </w:p>
        </w:tc>
      </w:tr>
      <w:tr>
        <w:trPr>
          <w:trHeight w:val="234" w:hRule="atLeast"/>
        </w:trPr>
        <w:tc>
          <w:tcPr>
            <w:tcW w:w="1380" w:type="dxa"/>
            <w:tcBorders>
              <w:bottom w:val="single" w:sz="6" w:space="0" w:color="000000"/>
            </w:tcBorders>
          </w:tcPr>
          <w:p>
            <w:pPr>
              <w:pStyle w:val="TableParagraph"/>
              <w:spacing w:line="175" w:lineRule="exact" w:before="39"/>
              <w:ind w:left="44"/>
              <w:rPr>
                <w:rFonts w:ascii="Arial"/>
                <w:b/>
                <w:sz w:val="16"/>
              </w:rPr>
            </w:pPr>
            <w:r>
              <w:rPr>
                <w:rFonts w:ascii="Arial"/>
                <w:b/>
                <w:spacing w:val="-4"/>
                <w:w w:val="105"/>
                <w:sz w:val="16"/>
              </w:rPr>
              <w:t>Unit</w:t>
            </w:r>
            <w:r>
              <w:rPr>
                <w:rFonts w:ascii="Arial"/>
                <w:b/>
                <w:spacing w:val="-1"/>
                <w:sz w:val="16"/>
              </w:rPr>
              <w:t> </w:t>
            </w:r>
            <w:r>
              <w:rPr>
                <w:rFonts w:ascii="Arial"/>
                <w:b/>
                <w:spacing w:val="-4"/>
                <w:w w:val="105"/>
                <w:sz w:val="16"/>
              </w:rPr>
              <w:t>Size</w:t>
            </w:r>
          </w:p>
        </w:tc>
        <w:tc>
          <w:tcPr>
            <w:tcW w:w="164" w:type="dxa"/>
          </w:tcPr>
          <w:p>
            <w:pPr>
              <w:pStyle w:val="TableParagraph"/>
              <w:rPr>
                <w:rFonts w:ascii="Times New Roman"/>
                <w:sz w:val="16"/>
              </w:rPr>
            </w:pPr>
          </w:p>
        </w:tc>
        <w:tc>
          <w:tcPr>
            <w:tcW w:w="720" w:type="dxa"/>
            <w:tcBorders>
              <w:bottom w:val="single" w:sz="6" w:space="0" w:color="000000"/>
            </w:tcBorders>
          </w:tcPr>
          <w:p>
            <w:pPr>
              <w:pStyle w:val="TableParagraph"/>
              <w:spacing w:line="175" w:lineRule="exact" w:before="39"/>
              <w:ind w:right="39"/>
              <w:jc w:val="right"/>
              <w:rPr>
                <w:sz w:val="16"/>
              </w:rPr>
            </w:pPr>
            <w:r>
              <w:rPr>
                <w:spacing w:val="-2"/>
                <w:w w:val="105"/>
                <w:sz w:val="16"/>
              </w:rPr>
              <w:t>Minimum</w:t>
            </w:r>
          </w:p>
        </w:tc>
        <w:tc>
          <w:tcPr>
            <w:tcW w:w="164" w:type="dxa"/>
          </w:tcPr>
          <w:p>
            <w:pPr>
              <w:pStyle w:val="TableParagraph"/>
              <w:rPr>
                <w:rFonts w:ascii="Times New Roman"/>
                <w:sz w:val="16"/>
              </w:rPr>
            </w:pPr>
          </w:p>
        </w:tc>
        <w:tc>
          <w:tcPr>
            <w:tcW w:w="780" w:type="dxa"/>
            <w:tcBorders>
              <w:bottom w:val="single" w:sz="6" w:space="0" w:color="000000"/>
            </w:tcBorders>
          </w:tcPr>
          <w:p>
            <w:pPr>
              <w:pStyle w:val="TableParagraph"/>
              <w:spacing w:line="175" w:lineRule="exact" w:before="39"/>
              <w:ind w:right="38"/>
              <w:jc w:val="right"/>
              <w:rPr>
                <w:sz w:val="16"/>
              </w:rPr>
            </w:pPr>
            <w:r>
              <w:rPr>
                <w:spacing w:val="-2"/>
                <w:w w:val="105"/>
                <w:sz w:val="16"/>
              </w:rPr>
              <w:t>Maximum</w:t>
            </w:r>
          </w:p>
        </w:tc>
        <w:tc>
          <w:tcPr>
            <w:tcW w:w="165" w:type="dxa"/>
          </w:tcPr>
          <w:p>
            <w:pPr>
              <w:pStyle w:val="TableParagraph"/>
              <w:rPr>
                <w:rFonts w:ascii="Times New Roman"/>
                <w:sz w:val="16"/>
              </w:rPr>
            </w:pPr>
          </w:p>
        </w:tc>
        <w:tc>
          <w:tcPr>
            <w:tcW w:w="1005" w:type="dxa"/>
            <w:tcBorders>
              <w:bottom w:val="single" w:sz="6" w:space="0" w:color="000000"/>
            </w:tcBorders>
          </w:tcPr>
          <w:p>
            <w:pPr>
              <w:pStyle w:val="TableParagraph"/>
              <w:spacing w:line="175" w:lineRule="exact" w:before="39"/>
              <w:ind w:right="62"/>
              <w:jc w:val="right"/>
              <w:rPr>
                <w:sz w:val="16"/>
              </w:rPr>
            </w:pPr>
            <w:r>
              <w:rPr>
                <w:sz w:val="16"/>
              </w:rPr>
              <w:t>Average</w:t>
            </w:r>
            <w:r>
              <w:rPr>
                <w:spacing w:val="25"/>
                <w:sz w:val="16"/>
              </w:rPr>
              <w:t> </w:t>
            </w:r>
            <w:r>
              <w:rPr>
                <w:spacing w:val="-5"/>
                <w:sz w:val="16"/>
              </w:rPr>
              <w:t>(a)</w:t>
            </w:r>
          </w:p>
        </w:tc>
        <w:tc>
          <w:tcPr>
            <w:tcW w:w="165" w:type="dxa"/>
          </w:tcPr>
          <w:p>
            <w:pPr>
              <w:pStyle w:val="TableParagraph"/>
              <w:rPr>
                <w:rFonts w:ascii="Times New Roman"/>
                <w:sz w:val="16"/>
              </w:rPr>
            </w:pPr>
          </w:p>
        </w:tc>
        <w:tc>
          <w:tcPr>
            <w:tcW w:w="1005" w:type="dxa"/>
            <w:tcBorders>
              <w:bottom w:val="single" w:sz="6" w:space="0" w:color="000000"/>
            </w:tcBorders>
          </w:tcPr>
          <w:p>
            <w:pPr>
              <w:pStyle w:val="TableParagraph"/>
              <w:spacing w:line="175" w:lineRule="exact" w:before="39"/>
              <w:ind w:right="62"/>
              <w:jc w:val="right"/>
              <w:rPr>
                <w:sz w:val="16"/>
              </w:rPr>
            </w:pPr>
            <w:r>
              <w:rPr>
                <w:sz w:val="16"/>
              </w:rPr>
              <w:t>Average</w:t>
            </w:r>
            <w:r>
              <w:rPr>
                <w:spacing w:val="25"/>
                <w:sz w:val="16"/>
              </w:rPr>
              <w:t> </w:t>
            </w:r>
            <w:r>
              <w:rPr>
                <w:spacing w:val="-5"/>
                <w:sz w:val="16"/>
              </w:rPr>
              <w:t>(a)</w:t>
            </w:r>
          </w:p>
        </w:tc>
        <w:tc>
          <w:tcPr>
            <w:tcW w:w="165" w:type="dxa"/>
          </w:tcPr>
          <w:p>
            <w:pPr>
              <w:pStyle w:val="TableParagraph"/>
              <w:rPr>
                <w:rFonts w:ascii="Times New Roman"/>
                <w:sz w:val="16"/>
              </w:rPr>
            </w:pPr>
          </w:p>
        </w:tc>
        <w:tc>
          <w:tcPr>
            <w:tcW w:w="975" w:type="dxa"/>
            <w:tcBorders>
              <w:bottom w:val="single" w:sz="6" w:space="0" w:color="000000"/>
            </w:tcBorders>
          </w:tcPr>
          <w:p>
            <w:pPr>
              <w:pStyle w:val="TableParagraph"/>
              <w:spacing w:line="175" w:lineRule="exact" w:before="39"/>
              <w:ind w:right="47"/>
              <w:jc w:val="right"/>
              <w:rPr>
                <w:sz w:val="16"/>
              </w:rPr>
            </w:pPr>
            <w:r>
              <w:rPr>
                <w:sz w:val="16"/>
              </w:rPr>
              <w:t>Average</w:t>
            </w:r>
            <w:r>
              <w:rPr>
                <w:spacing w:val="25"/>
                <w:sz w:val="16"/>
              </w:rPr>
              <w:t> </w:t>
            </w:r>
            <w:r>
              <w:rPr>
                <w:spacing w:val="-5"/>
                <w:sz w:val="16"/>
              </w:rPr>
              <w:t>(a)</w:t>
            </w:r>
          </w:p>
        </w:tc>
      </w:tr>
      <w:tr>
        <w:trPr>
          <w:trHeight w:val="220" w:hRule="atLeast"/>
        </w:trPr>
        <w:tc>
          <w:tcPr>
            <w:tcW w:w="1380" w:type="dxa"/>
            <w:tcBorders>
              <w:top w:val="single" w:sz="6" w:space="0" w:color="000000"/>
            </w:tcBorders>
          </w:tcPr>
          <w:p>
            <w:pPr>
              <w:pStyle w:val="TableParagraph"/>
              <w:spacing w:before="14"/>
              <w:ind w:left="44"/>
              <w:rPr>
                <w:sz w:val="16"/>
              </w:rPr>
            </w:pPr>
            <w:r>
              <w:rPr>
                <w:spacing w:val="-2"/>
                <w:w w:val="105"/>
                <w:sz w:val="16"/>
              </w:rPr>
              <w:t>Studio</w:t>
            </w:r>
          </w:p>
        </w:tc>
        <w:tc>
          <w:tcPr>
            <w:tcW w:w="164" w:type="dxa"/>
          </w:tcPr>
          <w:p>
            <w:pPr>
              <w:pStyle w:val="TableParagraph"/>
              <w:rPr>
                <w:rFonts w:ascii="Times New Roman"/>
                <w:sz w:val="14"/>
              </w:rPr>
            </w:pPr>
          </w:p>
        </w:tc>
        <w:tc>
          <w:tcPr>
            <w:tcW w:w="720" w:type="dxa"/>
            <w:tcBorders>
              <w:top w:val="single" w:sz="6" w:space="0" w:color="000000"/>
            </w:tcBorders>
          </w:tcPr>
          <w:p>
            <w:pPr>
              <w:pStyle w:val="TableParagraph"/>
              <w:spacing w:before="14"/>
              <w:ind w:right="42"/>
              <w:jc w:val="right"/>
              <w:rPr>
                <w:sz w:val="16"/>
              </w:rPr>
            </w:pPr>
            <w:r>
              <w:rPr>
                <w:spacing w:val="-4"/>
                <w:w w:val="105"/>
                <w:sz w:val="16"/>
              </w:rPr>
              <w:t>$800</w:t>
            </w:r>
          </w:p>
        </w:tc>
        <w:tc>
          <w:tcPr>
            <w:tcW w:w="164" w:type="dxa"/>
          </w:tcPr>
          <w:p>
            <w:pPr>
              <w:pStyle w:val="TableParagraph"/>
              <w:rPr>
                <w:rFonts w:ascii="Times New Roman"/>
                <w:sz w:val="14"/>
              </w:rPr>
            </w:pPr>
          </w:p>
        </w:tc>
        <w:tc>
          <w:tcPr>
            <w:tcW w:w="780" w:type="dxa"/>
            <w:tcBorders>
              <w:top w:val="single" w:sz="6" w:space="0" w:color="000000"/>
            </w:tcBorders>
          </w:tcPr>
          <w:p>
            <w:pPr>
              <w:pStyle w:val="TableParagraph"/>
              <w:spacing w:before="14"/>
              <w:ind w:right="39"/>
              <w:jc w:val="right"/>
              <w:rPr>
                <w:sz w:val="16"/>
              </w:rPr>
            </w:pPr>
            <w:r>
              <w:rPr>
                <w:spacing w:val="-2"/>
                <w:w w:val="105"/>
                <w:sz w:val="16"/>
              </w:rPr>
              <w:t>$1,798</w:t>
            </w:r>
          </w:p>
        </w:tc>
        <w:tc>
          <w:tcPr>
            <w:tcW w:w="165" w:type="dxa"/>
          </w:tcPr>
          <w:p>
            <w:pPr>
              <w:pStyle w:val="TableParagraph"/>
              <w:rPr>
                <w:rFonts w:ascii="Times New Roman"/>
                <w:sz w:val="14"/>
              </w:rPr>
            </w:pPr>
          </w:p>
        </w:tc>
        <w:tc>
          <w:tcPr>
            <w:tcW w:w="1005" w:type="dxa"/>
            <w:tcBorders>
              <w:top w:val="single" w:sz="6" w:space="0" w:color="000000"/>
            </w:tcBorders>
          </w:tcPr>
          <w:p>
            <w:pPr>
              <w:pStyle w:val="TableParagraph"/>
              <w:spacing w:before="14"/>
              <w:ind w:right="39"/>
              <w:jc w:val="right"/>
              <w:rPr>
                <w:sz w:val="16"/>
              </w:rPr>
            </w:pPr>
            <w:r>
              <w:rPr>
                <w:spacing w:val="-2"/>
                <w:w w:val="105"/>
                <w:sz w:val="16"/>
              </w:rPr>
              <w:t>$1,283</w:t>
            </w:r>
          </w:p>
        </w:tc>
        <w:tc>
          <w:tcPr>
            <w:tcW w:w="165" w:type="dxa"/>
          </w:tcPr>
          <w:p>
            <w:pPr>
              <w:pStyle w:val="TableParagraph"/>
              <w:rPr>
                <w:rFonts w:ascii="Times New Roman"/>
                <w:sz w:val="14"/>
              </w:rPr>
            </w:pPr>
          </w:p>
        </w:tc>
        <w:tc>
          <w:tcPr>
            <w:tcW w:w="1005" w:type="dxa"/>
            <w:tcBorders>
              <w:top w:val="single" w:sz="6" w:space="0" w:color="000000"/>
            </w:tcBorders>
          </w:tcPr>
          <w:p>
            <w:pPr>
              <w:pStyle w:val="TableParagraph"/>
              <w:spacing w:before="14"/>
              <w:ind w:right="39"/>
              <w:jc w:val="right"/>
              <w:rPr>
                <w:sz w:val="16"/>
              </w:rPr>
            </w:pPr>
            <w:r>
              <w:rPr>
                <w:spacing w:val="-2"/>
                <w:w w:val="105"/>
                <w:sz w:val="16"/>
              </w:rPr>
              <w:t>$1,229</w:t>
            </w:r>
          </w:p>
        </w:tc>
        <w:tc>
          <w:tcPr>
            <w:tcW w:w="165" w:type="dxa"/>
          </w:tcPr>
          <w:p>
            <w:pPr>
              <w:pStyle w:val="TableParagraph"/>
              <w:rPr>
                <w:rFonts w:ascii="Times New Roman"/>
                <w:sz w:val="14"/>
              </w:rPr>
            </w:pPr>
          </w:p>
        </w:tc>
        <w:tc>
          <w:tcPr>
            <w:tcW w:w="975" w:type="dxa"/>
            <w:tcBorders>
              <w:top w:val="single" w:sz="6" w:space="0" w:color="000000"/>
            </w:tcBorders>
          </w:tcPr>
          <w:p>
            <w:pPr>
              <w:pStyle w:val="TableParagraph"/>
              <w:spacing w:before="14"/>
              <w:ind w:right="39"/>
              <w:jc w:val="right"/>
              <w:rPr>
                <w:sz w:val="16"/>
              </w:rPr>
            </w:pPr>
            <w:r>
              <w:rPr>
                <w:spacing w:val="-2"/>
                <w:w w:val="105"/>
                <w:sz w:val="16"/>
              </w:rPr>
              <w:t>$1,180</w:t>
            </w:r>
          </w:p>
        </w:tc>
      </w:tr>
      <w:tr>
        <w:trPr>
          <w:trHeight w:val="224" w:hRule="atLeast"/>
        </w:trPr>
        <w:tc>
          <w:tcPr>
            <w:tcW w:w="1380" w:type="dxa"/>
          </w:tcPr>
          <w:p>
            <w:pPr>
              <w:pStyle w:val="TableParagraph"/>
              <w:spacing w:before="19"/>
              <w:ind w:left="44"/>
              <w:rPr>
                <w:sz w:val="16"/>
              </w:rPr>
            </w:pPr>
            <w:r>
              <w:rPr>
                <w:w w:val="105"/>
                <w:sz w:val="16"/>
              </w:rPr>
              <w:t>1</w:t>
            </w:r>
            <w:r>
              <w:rPr>
                <w:spacing w:val="-8"/>
                <w:w w:val="105"/>
                <w:sz w:val="16"/>
              </w:rPr>
              <w:t> </w:t>
            </w:r>
            <w:r>
              <w:rPr>
                <w:spacing w:val="-2"/>
                <w:w w:val="105"/>
                <w:sz w:val="16"/>
              </w:rPr>
              <w:t>Bedroom</w:t>
            </w:r>
          </w:p>
        </w:tc>
        <w:tc>
          <w:tcPr>
            <w:tcW w:w="164" w:type="dxa"/>
          </w:tcPr>
          <w:p>
            <w:pPr>
              <w:pStyle w:val="TableParagraph"/>
              <w:rPr>
                <w:rFonts w:ascii="Times New Roman"/>
                <w:sz w:val="16"/>
              </w:rPr>
            </w:pPr>
          </w:p>
        </w:tc>
        <w:tc>
          <w:tcPr>
            <w:tcW w:w="720" w:type="dxa"/>
          </w:tcPr>
          <w:p>
            <w:pPr>
              <w:pStyle w:val="TableParagraph"/>
              <w:spacing w:before="19"/>
              <w:ind w:right="42"/>
              <w:jc w:val="right"/>
              <w:rPr>
                <w:sz w:val="16"/>
              </w:rPr>
            </w:pPr>
            <w:r>
              <w:rPr>
                <w:spacing w:val="-4"/>
                <w:w w:val="105"/>
                <w:sz w:val="16"/>
              </w:rPr>
              <w:t>$928</w:t>
            </w:r>
          </w:p>
        </w:tc>
        <w:tc>
          <w:tcPr>
            <w:tcW w:w="164" w:type="dxa"/>
          </w:tcPr>
          <w:p>
            <w:pPr>
              <w:pStyle w:val="TableParagraph"/>
              <w:rPr>
                <w:rFonts w:ascii="Times New Roman"/>
                <w:sz w:val="16"/>
              </w:rPr>
            </w:pPr>
          </w:p>
        </w:tc>
        <w:tc>
          <w:tcPr>
            <w:tcW w:w="780" w:type="dxa"/>
          </w:tcPr>
          <w:p>
            <w:pPr>
              <w:pStyle w:val="TableParagraph"/>
              <w:spacing w:before="19"/>
              <w:ind w:right="39"/>
              <w:jc w:val="right"/>
              <w:rPr>
                <w:sz w:val="16"/>
              </w:rPr>
            </w:pPr>
            <w:r>
              <w:rPr>
                <w:spacing w:val="-2"/>
                <w:w w:val="105"/>
                <w:sz w:val="16"/>
              </w:rPr>
              <w:t>$2,650</w:t>
            </w:r>
          </w:p>
        </w:tc>
        <w:tc>
          <w:tcPr>
            <w:tcW w:w="165" w:type="dxa"/>
          </w:tcPr>
          <w:p>
            <w:pPr>
              <w:pStyle w:val="TableParagraph"/>
              <w:rPr>
                <w:rFonts w:ascii="Times New Roman"/>
                <w:sz w:val="16"/>
              </w:rPr>
            </w:pPr>
          </w:p>
        </w:tc>
        <w:tc>
          <w:tcPr>
            <w:tcW w:w="1005" w:type="dxa"/>
          </w:tcPr>
          <w:p>
            <w:pPr>
              <w:pStyle w:val="TableParagraph"/>
              <w:spacing w:before="19"/>
              <w:ind w:right="39"/>
              <w:jc w:val="right"/>
              <w:rPr>
                <w:sz w:val="16"/>
              </w:rPr>
            </w:pPr>
            <w:r>
              <w:rPr>
                <w:spacing w:val="-2"/>
                <w:w w:val="105"/>
                <w:sz w:val="16"/>
              </w:rPr>
              <w:t>$1,598</w:t>
            </w:r>
          </w:p>
        </w:tc>
        <w:tc>
          <w:tcPr>
            <w:tcW w:w="165" w:type="dxa"/>
          </w:tcPr>
          <w:p>
            <w:pPr>
              <w:pStyle w:val="TableParagraph"/>
              <w:rPr>
                <w:rFonts w:ascii="Times New Roman"/>
                <w:sz w:val="16"/>
              </w:rPr>
            </w:pPr>
          </w:p>
        </w:tc>
        <w:tc>
          <w:tcPr>
            <w:tcW w:w="1005" w:type="dxa"/>
          </w:tcPr>
          <w:p>
            <w:pPr>
              <w:pStyle w:val="TableParagraph"/>
              <w:spacing w:before="19"/>
              <w:ind w:right="39"/>
              <w:jc w:val="right"/>
              <w:rPr>
                <w:sz w:val="16"/>
              </w:rPr>
            </w:pPr>
            <w:r>
              <w:rPr>
                <w:spacing w:val="-2"/>
                <w:w w:val="105"/>
                <w:sz w:val="16"/>
              </w:rPr>
              <w:t>$1,498</w:t>
            </w:r>
          </w:p>
        </w:tc>
        <w:tc>
          <w:tcPr>
            <w:tcW w:w="165" w:type="dxa"/>
          </w:tcPr>
          <w:p>
            <w:pPr>
              <w:pStyle w:val="TableParagraph"/>
              <w:rPr>
                <w:rFonts w:ascii="Times New Roman"/>
                <w:sz w:val="16"/>
              </w:rPr>
            </w:pPr>
          </w:p>
        </w:tc>
        <w:tc>
          <w:tcPr>
            <w:tcW w:w="975" w:type="dxa"/>
          </w:tcPr>
          <w:p>
            <w:pPr>
              <w:pStyle w:val="TableParagraph"/>
              <w:spacing w:before="19"/>
              <w:ind w:right="39"/>
              <w:jc w:val="right"/>
              <w:rPr>
                <w:sz w:val="16"/>
              </w:rPr>
            </w:pPr>
            <w:r>
              <w:rPr>
                <w:spacing w:val="-2"/>
                <w:w w:val="105"/>
                <w:sz w:val="16"/>
              </w:rPr>
              <w:t>$1,430</w:t>
            </w:r>
          </w:p>
        </w:tc>
      </w:tr>
      <w:tr>
        <w:trPr>
          <w:trHeight w:val="224" w:hRule="atLeast"/>
        </w:trPr>
        <w:tc>
          <w:tcPr>
            <w:tcW w:w="1380" w:type="dxa"/>
          </w:tcPr>
          <w:p>
            <w:pPr>
              <w:pStyle w:val="TableParagraph"/>
              <w:spacing w:before="19"/>
              <w:ind w:left="44"/>
              <w:rPr>
                <w:sz w:val="16"/>
              </w:rPr>
            </w:pPr>
            <w:r>
              <w:rPr>
                <w:w w:val="105"/>
                <w:sz w:val="16"/>
              </w:rPr>
              <w:t>2</w:t>
            </w:r>
            <w:r>
              <w:rPr>
                <w:spacing w:val="-8"/>
                <w:w w:val="105"/>
                <w:sz w:val="16"/>
              </w:rPr>
              <w:t> </w:t>
            </w:r>
            <w:r>
              <w:rPr>
                <w:spacing w:val="-2"/>
                <w:w w:val="105"/>
                <w:sz w:val="16"/>
              </w:rPr>
              <w:t>Bedroom</w:t>
            </w:r>
          </w:p>
        </w:tc>
        <w:tc>
          <w:tcPr>
            <w:tcW w:w="164" w:type="dxa"/>
          </w:tcPr>
          <w:p>
            <w:pPr>
              <w:pStyle w:val="TableParagraph"/>
              <w:rPr>
                <w:rFonts w:ascii="Times New Roman"/>
                <w:sz w:val="16"/>
              </w:rPr>
            </w:pPr>
          </w:p>
        </w:tc>
        <w:tc>
          <w:tcPr>
            <w:tcW w:w="720" w:type="dxa"/>
          </w:tcPr>
          <w:p>
            <w:pPr>
              <w:pStyle w:val="TableParagraph"/>
              <w:spacing w:before="19"/>
              <w:ind w:right="40"/>
              <w:jc w:val="right"/>
              <w:rPr>
                <w:sz w:val="16"/>
              </w:rPr>
            </w:pPr>
            <w:r>
              <w:rPr>
                <w:spacing w:val="-2"/>
                <w:w w:val="105"/>
                <w:sz w:val="16"/>
              </w:rPr>
              <w:t>$1,090</w:t>
            </w:r>
          </w:p>
        </w:tc>
        <w:tc>
          <w:tcPr>
            <w:tcW w:w="164" w:type="dxa"/>
          </w:tcPr>
          <w:p>
            <w:pPr>
              <w:pStyle w:val="TableParagraph"/>
              <w:rPr>
                <w:rFonts w:ascii="Times New Roman"/>
                <w:sz w:val="16"/>
              </w:rPr>
            </w:pPr>
          </w:p>
        </w:tc>
        <w:tc>
          <w:tcPr>
            <w:tcW w:w="780" w:type="dxa"/>
          </w:tcPr>
          <w:p>
            <w:pPr>
              <w:pStyle w:val="TableParagraph"/>
              <w:spacing w:before="19"/>
              <w:ind w:right="39"/>
              <w:jc w:val="right"/>
              <w:rPr>
                <w:sz w:val="16"/>
              </w:rPr>
            </w:pPr>
            <w:r>
              <w:rPr>
                <w:spacing w:val="-2"/>
                <w:w w:val="105"/>
                <w:sz w:val="16"/>
              </w:rPr>
              <w:t>$3,550</w:t>
            </w:r>
          </w:p>
        </w:tc>
        <w:tc>
          <w:tcPr>
            <w:tcW w:w="165" w:type="dxa"/>
          </w:tcPr>
          <w:p>
            <w:pPr>
              <w:pStyle w:val="TableParagraph"/>
              <w:rPr>
                <w:rFonts w:ascii="Times New Roman"/>
                <w:sz w:val="16"/>
              </w:rPr>
            </w:pPr>
          </w:p>
        </w:tc>
        <w:tc>
          <w:tcPr>
            <w:tcW w:w="1005" w:type="dxa"/>
          </w:tcPr>
          <w:p>
            <w:pPr>
              <w:pStyle w:val="TableParagraph"/>
              <w:spacing w:before="19"/>
              <w:ind w:right="39"/>
              <w:jc w:val="right"/>
              <w:rPr>
                <w:sz w:val="16"/>
              </w:rPr>
            </w:pPr>
            <w:r>
              <w:rPr>
                <w:spacing w:val="-2"/>
                <w:w w:val="105"/>
                <w:sz w:val="16"/>
              </w:rPr>
              <w:t>$2,038</w:t>
            </w:r>
          </w:p>
        </w:tc>
        <w:tc>
          <w:tcPr>
            <w:tcW w:w="165" w:type="dxa"/>
          </w:tcPr>
          <w:p>
            <w:pPr>
              <w:pStyle w:val="TableParagraph"/>
              <w:rPr>
                <w:rFonts w:ascii="Times New Roman"/>
                <w:sz w:val="16"/>
              </w:rPr>
            </w:pPr>
          </w:p>
        </w:tc>
        <w:tc>
          <w:tcPr>
            <w:tcW w:w="1005" w:type="dxa"/>
          </w:tcPr>
          <w:p>
            <w:pPr>
              <w:pStyle w:val="TableParagraph"/>
              <w:spacing w:before="19"/>
              <w:ind w:right="39"/>
              <w:jc w:val="right"/>
              <w:rPr>
                <w:sz w:val="16"/>
              </w:rPr>
            </w:pPr>
            <w:r>
              <w:rPr>
                <w:spacing w:val="-2"/>
                <w:w w:val="105"/>
                <w:sz w:val="16"/>
              </w:rPr>
              <w:t>$1,909</w:t>
            </w:r>
          </w:p>
        </w:tc>
        <w:tc>
          <w:tcPr>
            <w:tcW w:w="165" w:type="dxa"/>
          </w:tcPr>
          <w:p>
            <w:pPr>
              <w:pStyle w:val="TableParagraph"/>
              <w:rPr>
                <w:rFonts w:ascii="Times New Roman"/>
                <w:sz w:val="16"/>
              </w:rPr>
            </w:pPr>
          </w:p>
        </w:tc>
        <w:tc>
          <w:tcPr>
            <w:tcW w:w="975" w:type="dxa"/>
          </w:tcPr>
          <w:p>
            <w:pPr>
              <w:pStyle w:val="TableParagraph"/>
              <w:spacing w:before="19"/>
              <w:ind w:right="39"/>
              <w:jc w:val="right"/>
              <w:rPr>
                <w:sz w:val="16"/>
              </w:rPr>
            </w:pPr>
            <w:r>
              <w:rPr>
                <w:spacing w:val="-2"/>
                <w:w w:val="105"/>
                <w:sz w:val="16"/>
              </w:rPr>
              <w:t>$1,893</w:t>
            </w:r>
          </w:p>
        </w:tc>
      </w:tr>
      <w:tr>
        <w:trPr>
          <w:trHeight w:val="224" w:hRule="atLeast"/>
        </w:trPr>
        <w:tc>
          <w:tcPr>
            <w:tcW w:w="1380" w:type="dxa"/>
          </w:tcPr>
          <w:p>
            <w:pPr>
              <w:pStyle w:val="TableParagraph"/>
              <w:spacing w:before="19"/>
              <w:ind w:left="44"/>
              <w:rPr>
                <w:sz w:val="16"/>
              </w:rPr>
            </w:pPr>
            <w:r>
              <w:rPr>
                <w:w w:val="105"/>
                <w:sz w:val="16"/>
              </w:rPr>
              <w:t>3</w:t>
            </w:r>
            <w:r>
              <w:rPr>
                <w:spacing w:val="-8"/>
                <w:w w:val="105"/>
                <w:sz w:val="16"/>
              </w:rPr>
              <w:t> </w:t>
            </w:r>
            <w:r>
              <w:rPr>
                <w:spacing w:val="-2"/>
                <w:w w:val="105"/>
                <w:sz w:val="16"/>
              </w:rPr>
              <w:t>Bedroom</w:t>
            </w:r>
          </w:p>
        </w:tc>
        <w:tc>
          <w:tcPr>
            <w:tcW w:w="164" w:type="dxa"/>
          </w:tcPr>
          <w:p>
            <w:pPr>
              <w:pStyle w:val="TableParagraph"/>
              <w:rPr>
                <w:rFonts w:ascii="Times New Roman"/>
                <w:sz w:val="16"/>
              </w:rPr>
            </w:pPr>
          </w:p>
        </w:tc>
        <w:tc>
          <w:tcPr>
            <w:tcW w:w="720" w:type="dxa"/>
          </w:tcPr>
          <w:p>
            <w:pPr>
              <w:pStyle w:val="TableParagraph"/>
              <w:spacing w:before="19"/>
              <w:ind w:right="40"/>
              <w:jc w:val="right"/>
              <w:rPr>
                <w:sz w:val="16"/>
              </w:rPr>
            </w:pPr>
            <w:r>
              <w:rPr>
                <w:spacing w:val="-2"/>
                <w:w w:val="105"/>
                <w:sz w:val="16"/>
              </w:rPr>
              <w:t>$1,675</w:t>
            </w:r>
          </w:p>
        </w:tc>
        <w:tc>
          <w:tcPr>
            <w:tcW w:w="164" w:type="dxa"/>
          </w:tcPr>
          <w:p>
            <w:pPr>
              <w:pStyle w:val="TableParagraph"/>
              <w:rPr>
                <w:rFonts w:ascii="Times New Roman"/>
                <w:sz w:val="16"/>
              </w:rPr>
            </w:pPr>
          </w:p>
        </w:tc>
        <w:tc>
          <w:tcPr>
            <w:tcW w:w="780" w:type="dxa"/>
          </w:tcPr>
          <w:p>
            <w:pPr>
              <w:pStyle w:val="TableParagraph"/>
              <w:spacing w:before="19"/>
              <w:ind w:right="39"/>
              <w:jc w:val="right"/>
              <w:rPr>
                <w:sz w:val="16"/>
              </w:rPr>
            </w:pPr>
            <w:r>
              <w:rPr>
                <w:spacing w:val="-2"/>
                <w:w w:val="105"/>
                <w:sz w:val="16"/>
              </w:rPr>
              <w:t>$3,700</w:t>
            </w:r>
          </w:p>
        </w:tc>
        <w:tc>
          <w:tcPr>
            <w:tcW w:w="165" w:type="dxa"/>
          </w:tcPr>
          <w:p>
            <w:pPr>
              <w:pStyle w:val="TableParagraph"/>
              <w:rPr>
                <w:rFonts w:ascii="Times New Roman"/>
                <w:sz w:val="16"/>
              </w:rPr>
            </w:pPr>
          </w:p>
        </w:tc>
        <w:tc>
          <w:tcPr>
            <w:tcW w:w="1005" w:type="dxa"/>
          </w:tcPr>
          <w:p>
            <w:pPr>
              <w:pStyle w:val="TableParagraph"/>
              <w:spacing w:before="19"/>
              <w:ind w:right="39"/>
              <w:jc w:val="right"/>
              <w:rPr>
                <w:sz w:val="16"/>
              </w:rPr>
            </w:pPr>
            <w:r>
              <w:rPr>
                <w:spacing w:val="-2"/>
                <w:w w:val="105"/>
                <w:sz w:val="16"/>
              </w:rPr>
              <w:t>$2,702</w:t>
            </w:r>
          </w:p>
        </w:tc>
        <w:tc>
          <w:tcPr>
            <w:tcW w:w="165" w:type="dxa"/>
          </w:tcPr>
          <w:p>
            <w:pPr>
              <w:pStyle w:val="TableParagraph"/>
              <w:rPr>
                <w:rFonts w:ascii="Times New Roman"/>
                <w:sz w:val="16"/>
              </w:rPr>
            </w:pPr>
          </w:p>
        </w:tc>
        <w:tc>
          <w:tcPr>
            <w:tcW w:w="1005" w:type="dxa"/>
          </w:tcPr>
          <w:p>
            <w:pPr>
              <w:pStyle w:val="TableParagraph"/>
              <w:spacing w:before="19"/>
              <w:ind w:right="39"/>
              <w:jc w:val="right"/>
              <w:rPr>
                <w:sz w:val="16"/>
              </w:rPr>
            </w:pPr>
            <w:r>
              <w:rPr>
                <w:spacing w:val="-2"/>
                <w:w w:val="105"/>
                <w:sz w:val="16"/>
              </w:rPr>
              <w:t>$2,610</w:t>
            </w:r>
          </w:p>
        </w:tc>
        <w:tc>
          <w:tcPr>
            <w:tcW w:w="165" w:type="dxa"/>
          </w:tcPr>
          <w:p>
            <w:pPr>
              <w:pStyle w:val="TableParagraph"/>
              <w:rPr>
                <w:rFonts w:ascii="Times New Roman"/>
                <w:sz w:val="16"/>
              </w:rPr>
            </w:pPr>
          </w:p>
        </w:tc>
        <w:tc>
          <w:tcPr>
            <w:tcW w:w="975" w:type="dxa"/>
          </w:tcPr>
          <w:p>
            <w:pPr>
              <w:pStyle w:val="TableParagraph"/>
              <w:spacing w:before="19"/>
              <w:ind w:right="39"/>
              <w:jc w:val="right"/>
              <w:rPr>
                <w:sz w:val="16"/>
              </w:rPr>
            </w:pPr>
            <w:r>
              <w:rPr>
                <w:spacing w:val="-2"/>
                <w:w w:val="105"/>
                <w:sz w:val="16"/>
              </w:rPr>
              <w:t>$2,529</w:t>
            </w:r>
          </w:p>
        </w:tc>
      </w:tr>
      <w:tr>
        <w:trPr>
          <w:trHeight w:val="214" w:hRule="atLeast"/>
        </w:trPr>
        <w:tc>
          <w:tcPr>
            <w:tcW w:w="1380" w:type="dxa"/>
            <w:tcBorders>
              <w:bottom w:val="single" w:sz="6" w:space="0" w:color="000000"/>
            </w:tcBorders>
          </w:tcPr>
          <w:p>
            <w:pPr>
              <w:pStyle w:val="TableParagraph"/>
              <w:spacing w:line="175" w:lineRule="exact" w:before="19"/>
              <w:ind w:left="44"/>
              <w:rPr>
                <w:sz w:val="16"/>
              </w:rPr>
            </w:pPr>
            <w:r>
              <w:rPr>
                <w:sz w:val="16"/>
              </w:rPr>
              <w:t>4+</w:t>
            </w:r>
            <w:r>
              <w:rPr>
                <w:spacing w:val="-5"/>
                <w:sz w:val="16"/>
              </w:rPr>
              <w:t> </w:t>
            </w:r>
            <w:r>
              <w:rPr>
                <w:spacing w:val="-2"/>
                <w:sz w:val="16"/>
              </w:rPr>
              <w:t>Bedroom</w:t>
            </w:r>
          </w:p>
        </w:tc>
        <w:tc>
          <w:tcPr>
            <w:tcW w:w="164" w:type="dxa"/>
          </w:tcPr>
          <w:p>
            <w:pPr>
              <w:pStyle w:val="TableParagraph"/>
              <w:rPr>
                <w:rFonts w:ascii="Times New Roman"/>
                <w:sz w:val="14"/>
              </w:rPr>
            </w:pPr>
          </w:p>
        </w:tc>
        <w:tc>
          <w:tcPr>
            <w:tcW w:w="720" w:type="dxa"/>
            <w:tcBorders>
              <w:bottom w:val="single" w:sz="6" w:space="0" w:color="000000"/>
            </w:tcBorders>
          </w:tcPr>
          <w:p>
            <w:pPr>
              <w:pStyle w:val="TableParagraph"/>
              <w:spacing w:line="175" w:lineRule="exact" w:before="19"/>
              <w:ind w:right="40"/>
              <w:jc w:val="right"/>
              <w:rPr>
                <w:sz w:val="16"/>
              </w:rPr>
            </w:pPr>
            <w:r>
              <w:rPr>
                <w:spacing w:val="-2"/>
                <w:w w:val="105"/>
                <w:sz w:val="16"/>
              </w:rPr>
              <w:t>$2,375</w:t>
            </w:r>
          </w:p>
        </w:tc>
        <w:tc>
          <w:tcPr>
            <w:tcW w:w="164" w:type="dxa"/>
          </w:tcPr>
          <w:p>
            <w:pPr>
              <w:pStyle w:val="TableParagraph"/>
              <w:rPr>
                <w:rFonts w:ascii="Times New Roman"/>
                <w:sz w:val="14"/>
              </w:rPr>
            </w:pPr>
          </w:p>
        </w:tc>
        <w:tc>
          <w:tcPr>
            <w:tcW w:w="780" w:type="dxa"/>
            <w:tcBorders>
              <w:bottom w:val="single" w:sz="6" w:space="0" w:color="000000"/>
            </w:tcBorders>
          </w:tcPr>
          <w:p>
            <w:pPr>
              <w:pStyle w:val="TableParagraph"/>
              <w:spacing w:line="175" w:lineRule="exact" w:before="19"/>
              <w:ind w:right="39"/>
              <w:jc w:val="right"/>
              <w:rPr>
                <w:sz w:val="16"/>
              </w:rPr>
            </w:pPr>
            <w:r>
              <w:rPr>
                <w:spacing w:val="-2"/>
                <w:w w:val="105"/>
                <w:sz w:val="16"/>
              </w:rPr>
              <w:t>$4,995</w:t>
            </w:r>
          </w:p>
        </w:tc>
        <w:tc>
          <w:tcPr>
            <w:tcW w:w="165" w:type="dxa"/>
          </w:tcPr>
          <w:p>
            <w:pPr>
              <w:pStyle w:val="TableParagraph"/>
              <w:rPr>
                <w:rFonts w:ascii="Times New Roman"/>
                <w:sz w:val="14"/>
              </w:rPr>
            </w:pPr>
          </w:p>
        </w:tc>
        <w:tc>
          <w:tcPr>
            <w:tcW w:w="1005" w:type="dxa"/>
            <w:tcBorders>
              <w:bottom w:val="single" w:sz="6" w:space="0" w:color="000000"/>
            </w:tcBorders>
          </w:tcPr>
          <w:p>
            <w:pPr>
              <w:pStyle w:val="TableParagraph"/>
              <w:spacing w:line="175" w:lineRule="exact" w:before="19"/>
              <w:ind w:right="39"/>
              <w:jc w:val="right"/>
              <w:rPr>
                <w:sz w:val="16"/>
              </w:rPr>
            </w:pPr>
            <w:r>
              <w:rPr>
                <w:spacing w:val="-2"/>
                <w:w w:val="105"/>
                <w:sz w:val="16"/>
              </w:rPr>
              <w:t>$3,373</w:t>
            </w:r>
          </w:p>
        </w:tc>
        <w:tc>
          <w:tcPr>
            <w:tcW w:w="165" w:type="dxa"/>
          </w:tcPr>
          <w:p>
            <w:pPr>
              <w:pStyle w:val="TableParagraph"/>
              <w:rPr>
                <w:rFonts w:ascii="Times New Roman"/>
                <w:sz w:val="14"/>
              </w:rPr>
            </w:pPr>
          </w:p>
        </w:tc>
        <w:tc>
          <w:tcPr>
            <w:tcW w:w="1005" w:type="dxa"/>
            <w:tcBorders>
              <w:bottom w:val="single" w:sz="6" w:space="0" w:color="000000"/>
            </w:tcBorders>
          </w:tcPr>
          <w:p>
            <w:pPr>
              <w:pStyle w:val="TableParagraph"/>
              <w:spacing w:line="175" w:lineRule="exact" w:before="19"/>
              <w:ind w:right="39"/>
              <w:jc w:val="right"/>
              <w:rPr>
                <w:sz w:val="16"/>
              </w:rPr>
            </w:pPr>
            <w:r>
              <w:rPr>
                <w:spacing w:val="-2"/>
                <w:w w:val="105"/>
                <w:sz w:val="16"/>
              </w:rPr>
              <w:t>$3,392</w:t>
            </w:r>
          </w:p>
        </w:tc>
        <w:tc>
          <w:tcPr>
            <w:tcW w:w="165" w:type="dxa"/>
          </w:tcPr>
          <w:p>
            <w:pPr>
              <w:pStyle w:val="TableParagraph"/>
              <w:rPr>
                <w:rFonts w:ascii="Times New Roman"/>
                <w:sz w:val="14"/>
              </w:rPr>
            </w:pPr>
          </w:p>
        </w:tc>
        <w:tc>
          <w:tcPr>
            <w:tcW w:w="975" w:type="dxa"/>
            <w:tcBorders>
              <w:bottom w:val="single" w:sz="6" w:space="0" w:color="000000"/>
            </w:tcBorders>
          </w:tcPr>
          <w:p>
            <w:pPr>
              <w:pStyle w:val="TableParagraph"/>
              <w:spacing w:line="175" w:lineRule="exact" w:before="19"/>
              <w:ind w:right="39"/>
              <w:jc w:val="right"/>
              <w:rPr>
                <w:sz w:val="16"/>
              </w:rPr>
            </w:pPr>
            <w:r>
              <w:rPr>
                <w:spacing w:val="-2"/>
                <w:w w:val="105"/>
                <w:sz w:val="16"/>
              </w:rPr>
              <w:t>$3,210</w:t>
            </w:r>
          </w:p>
        </w:tc>
      </w:tr>
      <w:tr>
        <w:trPr>
          <w:trHeight w:val="199" w:hRule="atLeast"/>
        </w:trPr>
        <w:tc>
          <w:tcPr>
            <w:tcW w:w="1380" w:type="dxa"/>
            <w:tcBorders>
              <w:top w:val="single" w:sz="6" w:space="0" w:color="000000"/>
            </w:tcBorders>
          </w:tcPr>
          <w:p>
            <w:pPr>
              <w:pStyle w:val="TableParagraph"/>
              <w:spacing w:line="165" w:lineRule="exact" w:before="14"/>
              <w:ind w:left="44"/>
              <w:rPr>
                <w:rFonts w:ascii="Arial"/>
                <w:b/>
                <w:sz w:val="16"/>
              </w:rPr>
            </w:pPr>
            <w:r>
              <w:rPr>
                <w:rFonts w:ascii="Arial"/>
                <w:b/>
                <w:w w:val="105"/>
                <w:sz w:val="16"/>
              </w:rPr>
              <w:t>Total,</w:t>
            </w:r>
            <w:r>
              <w:rPr>
                <w:rFonts w:ascii="Arial"/>
                <w:b/>
                <w:spacing w:val="-8"/>
                <w:w w:val="105"/>
                <w:sz w:val="16"/>
              </w:rPr>
              <w:t> </w:t>
            </w:r>
            <w:r>
              <w:rPr>
                <w:rFonts w:ascii="Arial"/>
                <w:b/>
                <w:w w:val="105"/>
                <w:sz w:val="16"/>
              </w:rPr>
              <w:t>All</w:t>
            </w:r>
            <w:r>
              <w:rPr>
                <w:rFonts w:ascii="Arial"/>
                <w:b/>
                <w:spacing w:val="-8"/>
                <w:w w:val="105"/>
                <w:sz w:val="16"/>
              </w:rPr>
              <w:t> </w:t>
            </w:r>
            <w:r>
              <w:rPr>
                <w:rFonts w:ascii="Arial"/>
                <w:b/>
                <w:spacing w:val="-2"/>
                <w:w w:val="105"/>
                <w:sz w:val="16"/>
              </w:rPr>
              <w:t>Sizes</w:t>
            </w:r>
          </w:p>
        </w:tc>
        <w:tc>
          <w:tcPr>
            <w:tcW w:w="164" w:type="dxa"/>
          </w:tcPr>
          <w:p>
            <w:pPr>
              <w:pStyle w:val="TableParagraph"/>
              <w:rPr>
                <w:rFonts w:ascii="Times New Roman"/>
                <w:sz w:val="12"/>
              </w:rPr>
            </w:pPr>
          </w:p>
        </w:tc>
        <w:tc>
          <w:tcPr>
            <w:tcW w:w="720" w:type="dxa"/>
            <w:tcBorders>
              <w:top w:val="single" w:sz="6" w:space="0" w:color="000000"/>
            </w:tcBorders>
          </w:tcPr>
          <w:p>
            <w:pPr>
              <w:pStyle w:val="TableParagraph"/>
              <w:spacing w:line="165" w:lineRule="exact" w:before="14"/>
              <w:ind w:right="42"/>
              <w:jc w:val="right"/>
              <w:rPr>
                <w:rFonts w:ascii="Arial"/>
                <w:b/>
                <w:sz w:val="16"/>
              </w:rPr>
            </w:pPr>
            <w:r>
              <w:rPr>
                <w:rFonts w:ascii="Arial"/>
                <w:b/>
                <w:spacing w:val="-4"/>
                <w:w w:val="105"/>
                <w:sz w:val="16"/>
              </w:rPr>
              <w:t>$800</w:t>
            </w:r>
          </w:p>
        </w:tc>
        <w:tc>
          <w:tcPr>
            <w:tcW w:w="164" w:type="dxa"/>
          </w:tcPr>
          <w:p>
            <w:pPr>
              <w:pStyle w:val="TableParagraph"/>
              <w:rPr>
                <w:rFonts w:ascii="Times New Roman"/>
                <w:sz w:val="12"/>
              </w:rPr>
            </w:pPr>
          </w:p>
        </w:tc>
        <w:tc>
          <w:tcPr>
            <w:tcW w:w="780" w:type="dxa"/>
            <w:tcBorders>
              <w:top w:val="single" w:sz="6" w:space="0" w:color="000000"/>
            </w:tcBorders>
          </w:tcPr>
          <w:p>
            <w:pPr>
              <w:pStyle w:val="TableParagraph"/>
              <w:spacing w:line="165" w:lineRule="exact" w:before="14"/>
              <w:ind w:right="39"/>
              <w:jc w:val="right"/>
              <w:rPr>
                <w:rFonts w:ascii="Arial"/>
                <w:b/>
                <w:sz w:val="16"/>
              </w:rPr>
            </w:pPr>
            <w:r>
              <w:rPr>
                <w:rFonts w:ascii="Arial"/>
                <w:b/>
                <w:spacing w:val="-2"/>
                <w:w w:val="105"/>
                <w:sz w:val="16"/>
              </w:rPr>
              <w:t>$4,995</w:t>
            </w:r>
          </w:p>
        </w:tc>
        <w:tc>
          <w:tcPr>
            <w:tcW w:w="165" w:type="dxa"/>
          </w:tcPr>
          <w:p>
            <w:pPr>
              <w:pStyle w:val="TableParagraph"/>
              <w:rPr>
                <w:rFonts w:ascii="Times New Roman"/>
                <w:sz w:val="12"/>
              </w:rPr>
            </w:pPr>
          </w:p>
        </w:tc>
        <w:tc>
          <w:tcPr>
            <w:tcW w:w="1005" w:type="dxa"/>
            <w:tcBorders>
              <w:top w:val="single" w:sz="6" w:space="0" w:color="000000"/>
            </w:tcBorders>
          </w:tcPr>
          <w:p>
            <w:pPr>
              <w:pStyle w:val="TableParagraph"/>
              <w:spacing w:line="165" w:lineRule="exact" w:before="14"/>
              <w:ind w:right="39"/>
              <w:jc w:val="right"/>
              <w:rPr>
                <w:rFonts w:ascii="Arial"/>
                <w:b/>
                <w:sz w:val="16"/>
              </w:rPr>
            </w:pPr>
            <w:r>
              <w:rPr>
                <w:rFonts w:ascii="Arial"/>
                <w:b/>
                <w:spacing w:val="-2"/>
                <w:w w:val="105"/>
                <w:sz w:val="16"/>
              </w:rPr>
              <w:t>$2,034</w:t>
            </w:r>
          </w:p>
        </w:tc>
        <w:tc>
          <w:tcPr>
            <w:tcW w:w="165" w:type="dxa"/>
          </w:tcPr>
          <w:p>
            <w:pPr>
              <w:pStyle w:val="TableParagraph"/>
              <w:rPr>
                <w:rFonts w:ascii="Times New Roman"/>
                <w:sz w:val="12"/>
              </w:rPr>
            </w:pPr>
          </w:p>
        </w:tc>
        <w:tc>
          <w:tcPr>
            <w:tcW w:w="1005" w:type="dxa"/>
            <w:tcBorders>
              <w:top w:val="single" w:sz="6" w:space="0" w:color="000000"/>
            </w:tcBorders>
          </w:tcPr>
          <w:p>
            <w:pPr>
              <w:pStyle w:val="TableParagraph"/>
              <w:spacing w:line="165" w:lineRule="exact" w:before="14"/>
              <w:ind w:right="39"/>
              <w:jc w:val="right"/>
              <w:rPr>
                <w:rFonts w:ascii="Arial"/>
                <w:b/>
                <w:sz w:val="16"/>
              </w:rPr>
            </w:pPr>
            <w:r>
              <w:rPr>
                <w:rFonts w:ascii="Arial"/>
                <w:b/>
                <w:spacing w:val="-2"/>
                <w:w w:val="105"/>
                <w:sz w:val="16"/>
              </w:rPr>
              <w:t>$1,943</w:t>
            </w:r>
          </w:p>
        </w:tc>
        <w:tc>
          <w:tcPr>
            <w:tcW w:w="165" w:type="dxa"/>
          </w:tcPr>
          <w:p>
            <w:pPr>
              <w:pStyle w:val="TableParagraph"/>
              <w:rPr>
                <w:rFonts w:ascii="Times New Roman"/>
                <w:sz w:val="12"/>
              </w:rPr>
            </w:pPr>
          </w:p>
        </w:tc>
        <w:tc>
          <w:tcPr>
            <w:tcW w:w="975" w:type="dxa"/>
            <w:tcBorders>
              <w:top w:val="single" w:sz="6" w:space="0" w:color="000000"/>
            </w:tcBorders>
          </w:tcPr>
          <w:p>
            <w:pPr>
              <w:pStyle w:val="TableParagraph"/>
              <w:spacing w:line="165" w:lineRule="exact" w:before="14"/>
              <w:ind w:right="39"/>
              <w:jc w:val="right"/>
              <w:rPr>
                <w:rFonts w:ascii="Arial"/>
                <w:b/>
                <w:sz w:val="16"/>
              </w:rPr>
            </w:pPr>
            <w:r>
              <w:rPr>
                <w:rFonts w:ascii="Arial"/>
                <w:b/>
                <w:spacing w:val="-2"/>
                <w:w w:val="105"/>
                <w:sz w:val="16"/>
              </w:rPr>
              <w:t>$1,901</w:t>
            </w:r>
          </w:p>
        </w:tc>
      </w:tr>
    </w:tbl>
    <w:p>
      <w:pPr>
        <w:pStyle w:val="BodyText"/>
        <w:spacing w:before="10"/>
        <w:rPr>
          <w:rFonts w:ascii="Arial"/>
          <w:b/>
          <w:sz w:val="17"/>
        </w:rPr>
      </w:pPr>
      <w:r>
        <w:rPr>
          <w:rFonts w:ascii="Arial"/>
          <w:b/>
          <w:sz w:val="17"/>
        </w:rPr>
        <mc:AlternateContent>
          <mc:Choice Requires="wps">
            <w:drawing>
              <wp:anchor distT="0" distB="0" distL="0" distR="0" allowOverlap="1" layoutInCell="1" locked="0" behindDoc="1" simplePos="0" relativeHeight="487593472">
                <wp:simplePos x="0" y="0"/>
                <wp:positionH relativeFrom="page">
                  <wp:posOffset>1097280</wp:posOffset>
                </wp:positionH>
                <wp:positionV relativeFrom="paragraph">
                  <wp:posOffset>146059</wp:posOffset>
                </wp:positionV>
                <wp:extent cx="5515610" cy="9525"/>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5515610" cy="9525"/>
                          <a:chExt cx="5515610" cy="9525"/>
                        </a:xfrm>
                      </wpg:grpSpPr>
                      <wps:wsp>
                        <wps:cNvPr id="71" name="Graphic 71"/>
                        <wps:cNvSpPr/>
                        <wps:spPr>
                          <a:xfrm>
                            <a:off x="4754" y="0"/>
                            <a:ext cx="5511165" cy="9525"/>
                          </a:xfrm>
                          <a:custGeom>
                            <a:avLst/>
                            <a:gdLst/>
                            <a:ahLst/>
                            <a:cxnLst/>
                            <a:rect l="l" t="t" r="r" b="b"/>
                            <a:pathLst>
                              <a:path w="5511165" h="9525">
                                <a:moveTo>
                                  <a:pt x="5510855" y="0"/>
                                </a:moveTo>
                                <a:lnTo>
                                  <a:pt x="0" y="0"/>
                                </a:lnTo>
                                <a:lnTo>
                                  <a:pt x="0" y="9392"/>
                                </a:lnTo>
                                <a:lnTo>
                                  <a:pt x="5510855" y="9460"/>
                                </a:lnTo>
                                <a:lnTo>
                                  <a:pt x="5510855"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0" y="0"/>
                            <a:ext cx="5515610" cy="9525"/>
                          </a:xfrm>
                          <a:custGeom>
                            <a:avLst/>
                            <a:gdLst/>
                            <a:ahLst/>
                            <a:cxnLst/>
                            <a:rect l="l" t="t" r="r" b="b"/>
                            <a:pathLst>
                              <a:path w="5515610" h="9525">
                                <a:moveTo>
                                  <a:pt x="5515610" y="0"/>
                                </a:moveTo>
                                <a:lnTo>
                                  <a:pt x="0" y="0"/>
                                </a:lnTo>
                                <a:lnTo>
                                  <a:pt x="0" y="9391"/>
                                </a:lnTo>
                                <a:lnTo>
                                  <a:pt x="5515610" y="9460"/>
                                </a:lnTo>
                                <a:lnTo>
                                  <a:pt x="55156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6.400002pt;margin-top:11.500746pt;width:434.3pt;height:.75pt;mso-position-horizontal-relative:page;mso-position-vertical-relative:paragraph;z-index:-15723008;mso-wrap-distance-left:0;mso-wrap-distance-right:0" id="docshapegroup59" coordorigin="1728,230" coordsize="8686,15">
                <v:rect style="position:absolute;left:1735;top:230;width:8679;height:15" id="docshape60" filled="true" fillcolor="#000000" stroked="false">
                  <v:fill type="solid"/>
                </v:rect>
                <v:rect style="position:absolute;left:1728;top:230;width:8686;height:15" id="docshape61" filled="true" fillcolor="#000000" stroked="false">
                  <v:fill type="solid"/>
                </v:rect>
                <w10:wrap type="topAndBottom"/>
              </v:group>
            </w:pict>
          </mc:Fallback>
        </mc:AlternateContent>
      </w:r>
    </w:p>
    <w:p>
      <w:pPr>
        <w:spacing w:before="3"/>
        <w:ind w:left="1008" w:right="0" w:firstLine="0"/>
        <w:jc w:val="left"/>
        <w:rPr>
          <w:rFonts w:ascii="Arial MT"/>
          <w:sz w:val="16"/>
        </w:rPr>
      </w:pPr>
      <w:r>
        <w:rPr>
          <w:rFonts w:ascii="Arial MT"/>
          <w:spacing w:val="-2"/>
          <w:sz w:val="16"/>
        </w:rPr>
        <w:t>Note:</w:t>
      </w:r>
    </w:p>
    <w:p>
      <w:pPr>
        <w:spacing w:before="0"/>
        <w:ind w:left="1008" w:right="1001" w:firstLine="0"/>
        <w:jc w:val="left"/>
        <w:rPr>
          <w:rFonts w:ascii="Arial MT"/>
          <w:sz w:val="16"/>
        </w:rPr>
      </w:pPr>
      <w:r>
        <w:rPr>
          <w:rFonts w:ascii="Arial MT"/>
          <w:sz w:val="16"/>
        </w:rPr>
        <w:t>(a)</w:t>
      </w:r>
      <w:r>
        <w:rPr>
          <w:rFonts w:ascii="Arial MT"/>
          <w:spacing w:val="40"/>
          <w:sz w:val="16"/>
        </w:rPr>
        <w:t> </w:t>
      </w:r>
      <w:r>
        <w:rPr>
          <w:rFonts w:ascii="Arial MT"/>
          <w:sz w:val="16"/>
        </w:rPr>
        <w:t>Figures</w:t>
      </w:r>
      <w:r>
        <w:rPr>
          <w:rFonts w:ascii="Arial MT"/>
          <w:spacing w:val="-3"/>
          <w:sz w:val="16"/>
        </w:rPr>
        <w:t> </w:t>
      </w:r>
      <w:r>
        <w:rPr>
          <w:rFonts w:ascii="Arial MT"/>
          <w:sz w:val="16"/>
        </w:rPr>
        <w:t>represent</w:t>
      </w:r>
      <w:r>
        <w:rPr>
          <w:rFonts w:ascii="Arial MT"/>
          <w:spacing w:val="-2"/>
          <w:sz w:val="16"/>
        </w:rPr>
        <w:t> </w:t>
      </w:r>
      <w:r>
        <w:rPr>
          <w:rFonts w:ascii="Arial MT"/>
          <w:sz w:val="16"/>
        </w:rPr>
        <w:t>weighted</w:t>
      </w:r>
      <w:r>
        <w:rPr>
          <w:rFonts w:ascii="Arial MT"/>
          <w:spacing w:val="-3"/>
          <w:sz w:val="16"/>
        </w:rPr>
        <w:t> </w:t>
      </w:r>
      <w:r>
        <w:rPr>
          <w:rFonts w:ascii="Arial MT"/>
          <w:sz w:val="16"/>
        </w:rPr>
        <w:t>average</w:t>
      </w:r>
      <w:r>
        <w:rPr>
          <w:rFonts w:ascii="Arial MT"/>
          <w:spacing w:val="-3"/>
          <w:sz w:val="16"/>
        </w:rPr>
        <w:t> </w:t>
      </w:r>
      <w:r>
        <w:rPr>
          <w:rFonts w:ascii="Arial MT"/>
          <w:sz w:val="16"/>
        </w:rPr>
        <w:t>rental</w:t>
      </w:r>
      <w:r>
        <w:rPr>
          <w:rFonts w:ascii="Arial MT"/>
          <w:spacing w:val="-2"/>
          <w:sz w:val="16"/>
        </w:rPr>
        <w:t> </w:t>
      </w:r>
      <w:r>
        <w:rPr>
          <w:rFonts w:ascii="Arial MT"/>
          <w:sz w:val="16"/>
        </w:rPr>
        <w:t>rates</w:t>
      </w:r>
      <w:r>
        <w:rPr>
          <w:rFonts w:ascii="Arial MT"/>
          <w:spacing w:val="-3"/>
          <w:sz w:val="16"/>
        </w:rPr>
        <w:t> </w:t>
      </w:r>
      <w:r>
        <w:rPr>
          <w:rFonts w:ascii="Arial MT"/>
          <w:sz w:val="16"/>
        </w:rPr>
        <w:t>and</w:t>
      </w:r>
      <w:r>
        <w:rPr>
          <w:rFonts w:ascii="Arial MT"/>
          <w:spacing w:val="-3"/>
          <w:sz w:val="16"/>
        </w:rPr>
        <w:t> </w:t>
      </w:r>
      <w:r>
        <w:rPr>
          <w:rFonts w:ascii="Arial MT"/>
          <w:sz w:val="16"/>
        </w:rPr>
        <w:t>include</w:t>
      </w:r>
      <w:r>
        <w:rPr>
          <w:rFonts w:ascii="Arial MT"/>
          <w:spacing w:val="-3"/>
          <w:sz w:val="16"/>
        </w:rPr>
        <w:t> </w:t>
      </w:r>
      <w:r>
        <w:rPr>
          <w:rFonts w:ascii="Arial MT"/>
          <w:sz w:val="16"/>
        </w:rPr>
        <w:t>only</w:t>
      </w:r>
      <w:r>
        <w:rPr>
          <w:rFonts w:ascii="Arial MT"/>
          <w:spacing w:val="-3"/>
          <w:sz w:val="16"/>
        </w:rPr>
        <w:t> </w:t>
      </w:r>
      <w:r>
        <w:rPr>
          <w:rFonts w:ascii="Arial MT"/>
          <w:sz w:val="16"/>
        </w:rPr>
        <w:t>those</w:t>
      </w:r>
      <w:r>
        <w:rPr>
          <w:rFonts w:ascii="Arial MT"/>
          <w:spacing w:val="-7"/>
          <w:sz w:val="16"/>
        </w:rPr>
        <w:t> </w:t>
      </w:r>
      <w:r>
        <w:rPr>
          <w:rFonts w:ascii="Arial MT"/>
          <w:sz w:val="16"/>
        </w:rPr>
        <w:t>complexes</w:t>
      </w:r>
      <w:r>
        <w:rPr>
          <w:rFonts w:ascii="Arial MT"/>
          <w:spacing w:val="-3"/>
          <w:sz w:val="16"/>
        </w:rPr>
        <w:t> </w:t>
      </w:r>
      <w:r>
        <w:rPr>
          <w:rFonts w:ascii="Arial MT"/>
          <w:sz w:val="16"/>
        </w:rPr>
        <w:t>where</w:t>
      </w:r>
      <w:r>
        <w:rPr>
          <w:rFonts w:ascii="Arial MT"/>
          <w:spacing w:val="-3"/>
          <w:sz w:val="16"/>
        </w:rPr>
        <w:t> </w:t>
      </w:r>
      <w:r>
        <w:rPr>
          <w:rFonts w:ascii="Arial MT"/>
          <w:sz w:val="16"/>
        </w:rPr>
        <w:t>the</w:t>
      </w:r>
      <w:r>
        <w:rPr>
          <w:rFonts w:ascii="Arial MT"/>
          <w:spacing w:val="-3"/>
          <w:sz w:val="16"/>
        </w:rPr>
        <w:t> </w:t>
      </w:r>
      <w:r>
        <w:rPr>
          <w:rFonts w:ascii="Arial MT"/>
          <w:sz w:val="16"/>
        </w:rPr>
        <w:t>respondent identified</w:t>
      </w:r>
      <w:r>
        <w:rPr>
          <w:rFonts w:ascii="Arial MT"/>
          <w:spacing w:val="-5"/>
          <w:sz w:val="16"/>
        </w:rPr>
        <w:t> </w:t>
      </w:r>
      <w:r>
        <w:rPr>
          <w:rFonts w:ascii="Arial MT"/>
          <w:sz w:val="16"/>
        </w:rPr>
        <w:t>the number of units by type, the number of beds per unit, and associated rental rates.</w:t>
      </w:r>
    </w:p>
    <w:p>
      <w:pPr>
        <w:pStyle w:val="BodyText"/>
        <w:rPr>
          <w:rFonts w:ascii="Arial MT"/>
          <w:sz w:val="16"/>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2021.</w:t>
      </w:r>
    </w:p>
    <w:p>
      <w:pPr>
        <w:pStyle w:val="BodyText"/>
        <w:spacing w:before="166"/>
        <w:rPr>
          <w:rFonts w:ascii="Arial MT"/>
          <w:sz w:val="16"/>
        </w:rPr>
      </w:pPr>
    </w:p>
    <w:p>
      <w:pPr>
        <w:spacing w:before="0"/>
        <w:ind w:left="1008" w:right="0" w:firstLine="0"/>
        <w:jc w:val="left"/>
        <w:rPr>
          <w:i/>
          <w:sz w:val="22"/>
        </w:rPr>
      </w:pPr>
      <w:r>
        <w:rPr>
          <w:i/>
          <w:sz w:val="22"/>
        </w:rPr>
        <w:t>Bed</w:t>
      </w:r>
      <w:r>
        <w:rPr>
          <w:i/>
          <w:spacing w:val="-2"/>
          <w:sz w:val="22"/>
        </w:rPr>
        <w:t> Leases</w:t>
      </w:r>
    </w:p>
    <w:p>
      <w:pPr>
        <w:pStyle w:val="BodyText"/>
        <w:spacing w:line="288" w:lineRule="auto" w:before="51"/>
        <w:ind w:left="1008" w:right="1001"/>
      </w:pPr>
      <w:r>
        <w:rPr/>
        <w:t>Table</w:t>
      </w:r>
      <w:r>
        <w:rPr>
          <w:spacing w:val="-3"/>
        </w:rPr>
        <w:t> </w:t>
      </w:r>
      <w:r>
        <w:rPr/>
        <w:t>5</w:t>
      </w:r>
      <w:r>
        <w:rPr>
          <w:spacing w:val="-3"/>
        </w:rPr>
        <w:t> </w:t>
      </w:r>
      <w:r>
        <w:rPr/>
        <w:t>illustrates</w:t>
      </w:r>
      <w:r>
        <w:rPr>
          <w:spacing w:val="-3"/>
        </w:rPr>
        <w:t> </w:t>
      </w:r>
      <w:r>
        <w:rPr/>
        <w:t>the</w:t>
      </w:r>
      <w:r>
        <w:rPr>
          <w:spacing w:val="-5"/>
        </w:rPr>
        <w:t> </w:t>
      </w:r>
      <w:r>
        <w:rPr/>
        <w:t>weighted</w:t>
      </w:r>
      <w:r>
        <w:rPr>
          <w:spacing w:val="-5"/>
        </w:rPr>
        <w:t> </w:t>
      </w:r>
      <w:r>
        <w:rPr/>
        <w:t>average</w:t>
      </w:r>
      <w:r>
        <w:rPr>
          <w:spacing w:val="-6"/>
        </w:rPr>
        <w:t> </w:t>
      </w:r>
      <w:r>
        <w:rPr/>
        <w:t>of</w:t>
      </w:r>
      <w:r>
        <w:rPr>
          <w:spacing w:val="-2"/>
        </w:rPr>
        <w:t> </w:t>
      </w:r>
      <w:r>
        <w:rPr/>
        <w:t>the</w:t>
      </w:r>
      <w:r>
        <w:rPr>
          <w:spacing w:val="-3"/>
        </w:rPr>
        <w:t> </w:t>
      </w:r>
      <w:r>
        <w:rPr/>
        <w:t>reported</w:t>
      </w:r>
      <w:r>
        <w:rPr>
          <w:spacing w:val="-3"/>
        </w:rPr>
        <w:t> </w:t>
      </w:r>
      <w:r>
        <w:rPr/>
        <w:t>rental</w:t>
      </w:r>
      <w:r>
        <w:rPr>
          <w:spacing w:val="-3"/>
        </w:rPr>
        <w:t> </w:t>
      </w:r>
      <w:r>
        <w:rPr/>
        <w:t>rates</w:t>
      </w:r>
      <w:r>
        <w:rPr>
          <w:spacing w:val="-5"/>
        </w:rPr>
        <w:t> </w:t>
      </w:r>
      <w:r>
        <w:rPr/>
        <w:t>for individual</w:t>
      </w:r>
      <w:r>
        <w:rPr>
          <w:spacing w:val="-3"/>
        </w:rPr>
        <w:t> </w:t>
      </w:r>
      <w:r>
        <w:rPr/>
        <w:t>bed</w:t>
      </w:r>
      <w:r>
        <w:rPr>
          <w:spacing w:val="-3"/>
        </w:rPr>
        <w:t> </w:t>
      </w:r>
      <w:r>
        <w:rPr/>
        <w:t>leases. Note that the reported survey results only include those responses that identified the total number of bed-leased units, by type, the total number of beds per</w:t>
      </w:r>
      <w:r>
        <w:rPr>
          <w:spacing w:val="-2"/>
        </w:rPr>
        <w:t> </w:t>
      </w:r>
      <w:r>
        <w:rPr/>
        <w:t>unit, and the associated rental</w:t>
      </w:r>
      <w:r>
        <w:rPr>
          <w:spacing w:val="-14"/>
        </w:rPr>
        <w:t> </w:t>
      </w:r>
      <w:r>
        <w:rPr/>
        <w:t>rate</w:t>
      </w:r>
      <w:r>
        <w:rPr>
          <w:spacing w:val="-14"/>
        </w:rPr>
        <w:t> </w:t>
      </w:r>
      <w:r>
        <w:rPr/>
        <w:t>information.</w:t>
      </w:r>
      <w:r>
        <w:rPr>
          <w:spacing w:val="23"/>
        </w:rPr>
        <w:t> </w:t>
      </w:r>
      <w:r>
        <w:rPr/>
        <w:t>According</w:t>
      </w:r>
      <w:r>
        <w:rPr>
          <w:spacing w:val="-13"/>
        </w:rPr>
        <w:t> </w:t>
      </w:r>
      <w:r>
        <w:rPr/>
        <w:t>to</w:t>
      </w:r>
      <w:r>
        <w:rPr>
          <w:spacing w:val="-13"/>
        </w:rPr>
        <w:t> </w:t>
      </w:r>
      <w:r>
        <w:rPr/>
        <w:t>the</w:t>
      </w:r>
      <w:r>
        <w:rPr>
          <w:spacing w:val="-14"/>
        </w:rPr>
        <w:t> </w:t>
      </w:r>
      <w:r>
        <w:rPr/>
        <w:t>survey</w:t>
      </w:r>
      <w:r>
        <w:rPr>
          <w:spacing w:val="-14"/>
        </w:rPr>
        <w:t> </w:t>
      </w:r>
      <w:r>
        <w:rPr/>
        <w:t>respondents,</w:t>
      </w:r>
      <w:r>
        <w:rPr>
          <w:spacing w:val="-14"/>
        </w:rPr>
        <w:t> </w:t>
      </w:r>
      <w:r>
        <w:rPr/>
        <w:t>the</w:t>
      </w:r>
      <w:r>
        <w:rPr>
          <w:spacing w:val="-13"/>
        </w:rPr>
        <w:t> </w:t>
      </w:r>
      <w:r>
        <w:rPr/>
        <w:t>weighted</w:t>
      </w:r>
      <w:r>
        <w:rPr>
          <w:spacing w:val="-14"/>
        </w:rPr>
        <w:t> </w:t>
      </w:r>
      <w:r>
        <w:rPr/>
        <w:t>average</w:t>
      </w:r>
      <w:r>
        <w:rPr>
          <w:spacing w:val="-14"/>
        </w:rPr>
        <w:t> </w:t>
      </w:r>
      <w:r>
        <w:rPr/>
        <w:t>rental</w:t>
      </w:r>
      <w:r>
        <w:rPr>
          <w:spacing w:val="-14"/>
        </w:rPr>
        <w:t> </w:t>
      </w:r>
      <w:r>
        <w:rPr/>
        <w:t>rate for a bed lease, in units of all sizes, was $1,062 per</w:t>
      </w:r>
      <w:r>
        <w:rPr>
          <w:spacing w:val="-1"/>
        </w:rPr>
        <w:t> </w:t>
      </w:r>
      <w:r>
        <w:rPr/>
        <w:t>month.</w:t>
      </w:r>
      <w:r>
        <w:rPr>
          <w:position w:val="5"/>
          <w:sz w:val="14"/>
        </w:rPr>
        <w:t>6</w:t>
      </w:r>
      <w:r>
        <w:rPr>
          <w:spacing w:val="80"/>
          <w:position w:val="5"/>
          <w:sz w:val="14"/>
        </w:rPr>
        <w:t> </w:t>
      </w:r>
      <w:r>
        <w:rPr/>
        <w:t>This represents an increase of just 1.2 percent over 2020, when the average monthly bed lease rate was $1,050.</w:t>
      </w:r>
      <w:r>
        <w:rPr>
          <w:spacing w:val="40"/>
        </w:rPr>
        <w:t> </w:t>
      </w:r>
      <w:r>
        <w:rPr/>
        <w:t>This increase is below the historical average annual rental rate increase for bed lease properties, which</w:t>
      </w:r>
      <w:r>
        <w:rPr>
          <w:spacing w:val="-2"/>
        </w:rPr>
        <w:t> </w:t>
      </w:r>
      <w:r>
        <w:rPr/>
        <w:t>has ranged from four to seven percent, which</w:t>
      </w:r>
      <w:r>
        <w:rPr>
          <w:spacing w:val="-2"/>
        </w:rPr>
        <w:t> </w:t>
      </w:r>
      <w:r>
        <w:rPr/>
        <w:t>is likely</w:t>
      </w:r>
      <w:r>
        <w:rPr>
          <w:spacing w:val="-1"/>
        </w:rPr>
        <w:t> </w:t>
      </w:r>
      <w:r>
        <w:rPr/>
        <w:t>explained by the</w:t>
      </w:r>
      <w:r>
        <w:rPr>
          <w:spacing w:val="-2"/>
        </w:rPr>
        <w:t> </w:t>
      </w:r>
      <w:r>
        <w:rPr/>
        <w:t>significant increase</w:t>
      </w:r>
      <w:r>
        <w:rPr>
          <w:spacing w:val="-3"/>
        </w:rPr>
        <w:t> </w:t>
      </w:r>
      <w:r>
        <w:rPr/>
        <w:t>in</w:t>
      </w:r>
      <w:r>
        <w:rPr>
          <w:spacing w:val="-3"/>
        </w:rPr>
        <w:t> </w:t>
      </w:r>
      <w:r>
        <w:rPr/>
        <w:t>the</w:t>
      </w:r>
      <w:r>
        <w:rPr>
          <w:spacing w:val="-3"/>
        </w:rPr>
        <w:t> </w:t>
      </w:r>
      <w:r>
        <w:rPr/>
        <w:t>number</w:t>
      </w:r>
      <w:r>
        <w:rPr>
          <w:spacing w:val="-4"/>
        </w:rPr>
        <w:t> </w:t>
      </w:r>
      <w:r>
        <w:rPr/>
        <w:t>of</w:t>
      </w:r>
      <w:r>
        <w:rPr>
          <w:spacing w:val="-5"/>
        </w:rPr>
        <w:t> </w:t>
      </w:r>
      <w:r>
        <w:rPr/>
        <w:t>bed-leased</w:t>
      </w:r>
      <w:r>
        <w:rPr>
          <w:spacing w:val="-3"/>
        </w:rPr>
        <w:t> </w:t>
      </w:r>
      <w:r>
        <w:rPr/>
        <w:t>units</w:t>
      </w:r>
      <w:r>
        <w:rPr>
          <w:spacing w:val="-3"/>
        </w:rPr>
        <w:t> </w:t>
      </w:r>
      <w:r>
        <w:rPr/>
        <w:t>in</w:t>
      </w:r>
      <w:r>
        <w:rPr>
          <w:spacing w:val="-3"/>
        </w:rPr>
        <w:t> </w:t>
      </w:r>
      <w:r>
        <w:rPr/>
        <w:t>the</w:t>
      </w:r>
      <w:r>
        <w:rPr>
          <w:spacing w:val="-3"/>
        </w:rPr>
        <w:t> </w:t>
      </w:r>
      <w:r>
        <w:rPr/>
        <w:t>market,</w:t>
      </w:r>
      <w:r>
        <w:rPr>
          <w:spacing w:val="-3"/>
        </w:rPr>
        <w:t> </w:t>
      </w:r>
      <w:r>
        <w:rPr/>
        <w:t>as</w:t>
      </w:r>
      <w:r>
        <w:rPr>
          <w:spacing w:val="-3"/>
        </w:rPr>
        <w:t> </w:t>
      </w:r>
      <w:r>
        <w:rPr/>
        <w:t>well</w:t>
      </w:r>
      <w:r>
        <w:rPr>
          <w:spacing w:val="-7"/>
        </w:rPr>
        <w:t> </w:t>
      </w:r>
      <w:r>
        <w:rPr/>
        <w:t>as</w:t>
      </w:r>
      <w:r>
        <w:rPr>
          <w:spacing w:val="-5"/>
        </w:rPr>
        <w:t> </w:t>
      </w:r>
      <w:r>
        <w:rPr/>
        <w:t>a</w:t>
      </w:r>
      <w:r>
        <w:rPr>
          <w:spacing w:val="-3"/>
        </w:rPr>
        <w:t> </w:t>
      </w:r>
      <w:r>
        <w:rPr/>
        <w:t>modest</w:t>
      </w:r>
      <w:r>
        <w:rPr>
          <w:spacing w:val="-7"/>
        </w:rPr>
        <w:t> </w:t>
      </w:r>
      <w:r>
        <w:rPr/>
        <w:t>increase</w:t>
      </w:r>
      <w:r>
        <w:rPr>
          <w:spacing w:val="-3"/>
        </w:rPr>
        <w:t> </w:t>
      </w:r>
      <w:r>
        <w:rPr/>
        <w:t>in</w:t>
      </w:r>
      <w:r>
        <w:rPr>
          <w:spacing w:val="-3"/>
        </w:rPr>
        <w:t> </w:t>
      </w:r>
      <w:r>
        <w:rPr/>
        <w:t>the prevalence of double occupancy bedrooms within bed-leased units.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6"/>
        <w:rPr>
          <w:sz w:val="20"/>
        </w:rPr>
      </w:pPr>
      <w:r>
        <w:rPr>
          <w:sz w:val="20"/>
        </w:rPr>
        <mc:AlternateContent>
          <mc:Choice Requires="wps">
            <w:drawing>
              <wp:anchor distT="0" distB="0" distL="0" distR="0" allowOverlap="1" layoutInCell="1" locked="0" behindDoc="1" simplePos="0" relativeHeight="487593984">
                <wp:simplePos x="0" y="0"/>
                <wp:positionH relativeFrom="page">
                  <wp:posOffset>1097584</wp:posOffset>
                </wp:positionH>
                <wp:positionV relativeFrom="paragraph">
                  <wp:posOffset>233145</wp:posOffset>
                </wp:positionV>
                <wp:extent cx="1829435" cy="762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24004pt;margin-top:18.357952pt;width:144.020pt;height:.60004pt;mso-position-horizontal-relative:page;mso-position-vertical-relative:paragraph;z-index:-15722496;mso-wrap-distance-left:0;mso-wrap-distance-right:0" id="docshape62" filled="true" fillcolor="#000000" stroked="false">
                <v:fill type="solid"/>
                <w10:wrap type="topAndBottom"/>
              </v:rect>
            </w:pict>
          </mc:Fallback>
        </mc:AlternateContent>
      </w:r>
    </w:p>
    <w:p>
      <w:pPr>
        <w:pStyle w:val="BodyText"/>
        <w:rPr>
          <w:sz w:val="18"/>
        </w:rPr>
      </w:pPr>
    </w:p>
    <w:p>
      <w:pPr>
        <w:pStyle w:val="BodyText"/>
        <w:spacing w:before="82"/>
        <w:rPr>
          <w:sz w:val="18"/>
        </w:rPr>
      </w:pPr>
    </w:p>
    <w:p>
      <w:pPr>
        <w:spacing w:line="352" w:lineRule="auto" w:before="0"/>
        <w:ind w:left="1008" w:right="1001" w:firstLine="0"/>
        <w:jc w:val="left"/>
        <w:rPr>
          <w:sz w:val="18"/>
        </w:rPr>
      </w:pPr>
      <w:r>
        <w:rPr>
          <w:position w:val="4"/>
          <w:sz w:val="12"/>
        </w:rPr>
        <w:t>5</w:t>
      </w:r>
      <w:r>
        <w:rPr>
          <w:spacing w:val="7"/>
          <w:position w:val="4"/>
          <w:sz w:val="12"/>
        </w:rPr>
        <w:t> </w:t>
      </w:r>
      <w:r>
        <w:rPr>
          <w:sz w:val="18"/>
        </w:rPr>
        <w:t>In</w:t>
      </w:r>
      <w:r>
        <w:rPr>
          <w:spacing w:val="-6"/>
          <w:sz w:val="18"/>
        </w:rPr>
        <w:t> </w:t>
      </w:r>
      <w:r>
        <w:rPr>
          <w:sz w:val="18"/>
        </w:rPr>
        <w:t>cases</w:t>
      </w:r>
      <w:r>
        <w:rPr>
          <w:spacing w:val="-7"/>
          <w:sz w:val="18"/>
        </w:rPr>
        <w:t> </w:t>
      </w:r>
      <w:r>
        <w:rPr>
          <w:sz w:val="18"/>
        </w:rPr>
        <w:t>where</w:t>
      </w:r>
      <w:r>
        <w:rPr>
          <w:spacing w:val="-7"/>
          <w:sz w:val="18"/>
        </w:rPr>
        <w:t> </w:t>
      </w:r>
      <w:r>
        <w:rPr>
          <w:sz w:val="18"/>
        </w:rPr>
        <w:t>the</w:t>
      </w:r>
      <w:r>
        <w:rPr>
          <w:spacing w:val="-7"/>
          <w:sz w:val="18"/>
        </w:rPr>
        <w:t> </w:t>
      </w:r>
      <w:r>
        <w:rPr>
          <w:sz w:val="18"/>
        </w:rPr>
        <w:t>respondent</w:t>
      </w:r>
      <w:r>
        <w:rPr>
          <w:spacing w:val="-9"/>
          <w:sz w:val="18"/>
        </w:rPr>
        <w:t> </w:t>
      </w:r>
      <w:r>
        <w:rPr>
          <w:sz w:val="18"/>
        </w:rPr>
        <w:t>provided</w:t>
      </w:r>
      <w:r>
        <w:rPr>
          <w:spacing w:val="-8"/>
          <w:sz w:val="18"/>
        </w:rPr>
        <w:t> </w:t>
      </w:r>
      <w:r>
        <w:rPr>
          <w:sz w:val="18"/>
        </w:rPr>
        <w:t>a</w:t>
      </w:r>
      <w:r>
        <w:rPr>
          <w:spacing w:val="-7"/>
          <w:sz w:val="18"/>
        </w:rPr>
        <w:t> </w:t>
      </w:r>
      <w:r>
        <w:rPr>
          <w:sz w:val="18"/>
        </w:rPr>
        <w:t>range</w:t>
      </w:r>
      <w:r>
        <w:rPr>
          <w:spacing w:val="-9"/>
          <w:sz w:val="18"/>
        </w:rPr>
        <w:t> </w:t>
      </w:r>
      <w:r>
        <w:rPr>
          <w:sz w:val="18"/>
        </w:rPr>
        <w:t>of</w:t>
      </w:r>
      <w:r>
        <w:rPr>
          <w:spacing w:val="-6"/>
          <w:sz w:val="18"/>
        </w:rPr>
        <w:t> </w:t>
      </w:r>
      <w:r>
        <w:rPr>
          <w:sz w:val="18"/>
        </w:rPr>
        <w:t>prices</w:t>
      </w:r>
      <w:r>
        <w:rPr>
          <w:spacing w:val="-7"/>
          <w:sz w:val="18"/>
        </w:rPr>
        <w:t> </w:t>
      </w:r>
      <w:r>
        <w:rPr>
          <w:sz w:val="18"/>
        </w:rPr>
        <w:t>for</w:t>
      </w:r>
      <w:r>
        <w:rPr>
          <w:spacing w:val="-7"/>
          <w:sz w:val="18"/>
        </w:rPr>
        <w:t> </w:t>
      </w:r>
      <w:r>
        <w:rPr>
          <w:sz w:val="18"/>
        </w:rPr>
        <w:t>a</w:t>
      </w:r>
      <w:r>
        <w:rPr>
          <w:spacing w:val="-10"/>
          <w:sz w:val="18"/>
        </w:rPr>
        <w:t> </w:t>
      </w:r>
      <w:r>
        <w:rPr>
          <w:sz w:val="18"/>
        </w:rPr>
        <w:t>given</w:t>
      </w:r>
      <w:r>
        <w:rPr>
          <w:spacing w:val="-7"/>
          <w:sz w:val="18"/>
        </w:rPr>
        <w:t> </w:t>
      </w:r>
      <w:r>
        <w:rPr>
          <w:sz w:val="18"/>
        </w:rPr>
        <w:t>unit</w:t>
      </w:r>
      <w:r>
        <w:rPr>
          <w:spacing w:val="-8"/>
          <w:sz w:val="18"/>
        </w:rPr>
        <w:t> </w:t>
      </w:r>
      <w:r>
        <w:rPr>
          <w:sz w:val="18"/>
        </w:rPr>
        <w:t>type,</w:t>
      </w:r>
      <w:r>
        <w:rPr>
          <w:spacing w:val="-9"/>
          <w:sz w:val="18"/>
        </w:rPr>
        <w:t> </w:t>
      </w:r>
      <w:r>
        <w:rPr>
          <w:sz w:val="18"/>
        </w:rPr>
        <w:t>but</w:t>
      </w:r>
      <w:r>
        <w:rPr>
          <w:spacing w:val="-7"/>
          <w:sz w:val="18"/>
        </w:rPr>
        <w:t> </w:t>
      </w:r>
      <w:r>
        <w:rPr>
          <w:sz w:val="18"/>
        </w:rPr>
        <w:t>no</w:t>
      </w:r>
      <w:r>
        <w:rPr>
          <w:spacing w:val="-9"/>
          <w:sz w:val="18"/>
        </w:rPr>
        <w:t> </w:t>
      </w:r>
      <w:r>
        <w:rPr>
          <w:sz w:val="18"/>
        </w:rPr>
        <w:t>corresponding</w:t>
      </w:r>
      <w:r>
        <w:rPr>
          <w:spacing w:val="-6"/>
          <w:sz w:val="18"/>
        </w:rPr>
        <w:t> </w:t>
      </w:r>
      <w:r>
        <w:rPr>
          <w:sz w:val="18"/>
        </w:rPr>
        <w:t>unit</w:t>
      </w:r>
      <w:r>
        <w:rPr>
          <w:spacing w:val="-8"/>
          <w:sz w:val="18"/>
        </w:rPr>
        <w:t> </w:t>
      </w:r>
      <w:r>
        <w:rPr>
          <w:sz w:val="18"/>
        </w:rPr>
        <w:t>totals, BAE</w:t>
      </w:r>
      <w:r>
        <w:rPr>
          <w:spacing w:val="-1"/>
          <w:sz w:val="18"/>
        </w:rPr>
        <w:t> </w:t>
      </w:r>
      <w:r>
        <w:rPr>
          <w:sz w:val="18"/>
        </w:rPr>
        <w:t>applied</w:t>
      </w:r>
      <w:r>
        <w:rPr>
          <w:spacing w:val="-1"/>
          <w:sz w:val="18"/>
        </w:rPr>
        <w:t> </w:t>
      </w:r>
      <w:r>
        <w:rPr>
          <w:sz w:val="18"/>
        </w:rPr>
        <w:t>the mid-point of the</w:t>
      </w:r>
      <w:r>
        <w:rPr>
          <w:spacing w:val="-3"/>
          <w:sz w:val="18"/>
        </w:rPr>
        <w:t> </w:t>
      </w:r>
      <w:r>
        <w:rPr>
          <w:sz w:val="18"/>
        </w:rPr>
        <w:t>range.</w:t>
      </w:r>
      <w:r>
        <w:rPr>
          <w:spacing w:val="40"/>
          <w:sz w:val="18"/>
        </w:rPr>
        <w:t> </w:t>
      </w:r>
      <w:r>
        <w:rPr>
          <w:sz w:val="18"/>
        </w:rPr>
        <w:t>The</w:t>
      </w:r>
      <w:r>
        <w:rPr>
          <w:spacing w:val="-2"/>
          <w:sz w:val="18"/>
        </w:rPr>
        <w:t> </w:t>
      </w:r>
      <w:r>
        <w:rPr>
          <w:sz w:val="18"/>
        </w:rPr>
        <w:t>reported</w:t>
      </w:r>
      <w:r>
        <w:rPr>
          <w:spacing w:val="-1"/>
          <w:sz w:val="18"/>
        </w:rPr>
        <w:t> </w:t>
      </w:r>
      <w:r>
        <w:rPr>
          <w:sz w:val="18"/>
        </w:rPr>
        <w:t>values</w:t>
      </w:r>
      <w:r>
        <w:rPr>
          <w:spacing w:val="-2"/>
          <w:sz w:val="18"/>
        </w:rPr>
        <w:t> </w:t>
      </w:r>
      <w:r>
        <w:rPr>
          <w:sz w:val="18"/>
        </w:rPr>
        <w:t>represent weighted</w:t>
      </w:r>
      <w:r>
        <w:rPr>
          <w:spacing w:val="-1"/>
          <w:sz w:val="18"/>
        </w:rPr>
        <w:t> </w:t>
      </w:r>
      <w:r>
        <w:rPr>
          <w:sz w:val="18"/>
        </w:rPr>
        <w:t>averages, which reflect the reported rental rates and the total number of units and/or beds.</w:t>
      </w:r>
    </w:p>
    <w:p>
      <w:pPr>
        <w:spacing w:line="202" w:lineRule="exact" w:before="0"/>
        <w:ind w:left="1008" w:right="0" w:firstLine="0"/>
        <w:jc w:val="left"/>
        <w:rPr>
          <w:sz w:val="18"/>
        </w:rPr>
      </w:pPr>
      <w:r>
        <w:rPr>
          <w:position w:val="5"/>
          <w:sz w:val="12"/>
        </w:rPr>
        <w:t>6</w:t>
      </w:r>
      <w:r>
        <w:rPr>
          <w:spacing w:val="9"/>
          <w:position w:val="5"/>
          <w:sz w:val="12"/>
        </w:rPr>
        <w:t> </w:t>
      </w:r>
      <w:r>
        <w:rPr>
          <w:sz w:val="18"/>
        </w:rPr>
        <w:t>See</w:t>
      </w:r>
      <w:r>
        <w:rPr>
          <w:spacing w:val="-8"/>
          <w:sz w:val="18"/>
        </w:rPr>
        <w:t> </w:t>
      </w:r>
      <w:r>
        <w:rPr>
          <w:sz w:val="18"/>
        </w:rPr>
        <w:t>footnote</w:t>
      </w:r>
      <w:r>
        <w:rPr>
          <w:spacing w:val="-8"/>
          <w:sz w:val="18"/>
        </w:rPr>
        <w:t> </w:t>
      </w:r>
      <w:r>
        <w:rPr>
          <w:spacing w:val="-5"/>
          <w:sz w:val="18"/>
        </w:rPr>
        <w:t>6.</w:t>
      </w:r>
    </w:p>
    <w:p>
      <w:pPr>
        <w:spacing w:after="0" w:line="202" w:lineRule="exact"/>
        <w:jc w:val="left"/>
        <w:rPr>
          <w:sz w:val="18"/>
        </w:rPr>
        <w:sectPr>
          <w:pgSz w:w="12240" w:h="15840"/>
          <w:pgMar w:header="0" w:footer="502" w:top="1700" w:bottom="700" w:left="720" w:right="720"/>
        </w:sectPr>
      </w:pPr>
    </w:p>
    <w:p>
      <w:pPr>
        <w:tabs>
          <w:tab w:pos="9680" w:val="left" w:leader="none"/>
        </w:tabs>
        <w:spacing w:before="78"/>
        <w:ind w:left="1008" w:right="0" w:firstLine="0"/>
        <w:jc w:val="left"/>
        <w:rPr>
          <w:i/>
          <w:sz w:val="22"/>
        </w:rPr>
      </w:pPr>
      <w:r>
        <w:rPr>
          <w:i/>
          <w:sz w:val="22"/>
          <w:u w:val="single"/>
        </w:rPr>
        <w:t>Table</w:t>
      </w:r>
      <w:r>
        <w:rPr>
          <w:i/>
          <w:spacing w:val="-7"/>
          <w:sz w:val="22"/>
          <w:u w:val="single"/>
        </w:rPr>
        <w:t> </w:t>
      </w:r>
      <w:r>
        <w:rPr>
          <w:i/>
          <w:sz w:val="22"/>
          <w:u w:val="single"/>
        </w:rPr>
        <w:t>5:</w:t>
      </w:r>
      <w:r>
        <w:rPr>
          <w:i/>
          <w:spacing w:val="43"/>
          <w:sz w:val="22"/>
          <w:u w:val="single"/>
        </w:rPr>
        <w:t> </w:t>
      </w:r>
      <w:r>
        <w:rPr>
          <w:i/>
          <w:sz w:val="22"/>
          <w:u w:val="single"/>
        </w:rPr>
        <w:t>Average</w:t>
      </w:r>
      <w:r>
        <w:rPr>
          <w:i/>
          <w:spacing w:val="-5"/>
          <w:sz w:val="22"/>
          <w:u w:val="single"/>
        </w:rPr>
        <w:t> </w:t>
      </w:r>
      <w:r>
        <w:rPr>
          <w:i/>
          <w:sz w:val="22"/>
          <w:u w:val="single"/>
        </w:rPr>
        <w:t>Rental</w:t>
      </w:r>
      <w:r>
        <w:rPr>
          <w:i/>
          <w:spacing w:val="-9"/>
          <w:sz w:val="22"/>
          <w:u w:val="single"/>
        </w:rPr>
        <w:t> </w:t>
      </w:r>
      <w:r>
        <w:rPr>
          <w:i/>
          <w:sz w:val="22"/>
          <w:u w:val="single"/>
        </w:rPr>
        <w:t>Rate</w:t>
      </w:r>
      <w:r>
        <w:rPr>
          <w:i/>
          <w:spacing w:val="-6"/>
          <w:sz w:val="22"/>
          <w:u w:val="single"/>
        </w:rPr>
        <w:t> </w:t>
      </w:r>
      <w:r>
        <w:rPr>
          <w:i/>
          <w:sz w:val="22"/>
          <w:u w:val="single"/>
        </w:rPr>
        <w:t>for</w:t>
      </w:r>
      <w:r>
        <w:rPr>
          <w:i/>
          <w:spacing w:val="-6"/>
          <w:sz w:val="22"/>
          <w:u w:val="single"/>
        </w:rPr>
        <w:t> </w:t>
      </w:r>
      <w:r>
        <w:rPr>
          <w:i/>
          <w:sz w:val="22"/>
          <w:u w:val="single"/>
        </w:rPr>
        <w:t>Bed</w:t>
      </w:r>
      <w:r>
        <w:rPr>
          <w:i/>
          <w:spacing w:val="-7"/>
          <w:sz w:val="22"/>
          <w:u w:val="single"/>
        </w:rPr>
        <w:t> </w:t>
      </w:r>
      <w:r>
        <w:rPr>
          <w:i/>
          <w:sz w:val="22"/>
          <w:u w:val="single"/>
        </w:rPr>
        <w:t>Leases</w:t>
      </w:r>
      <w:r>
        <w:rPr>
          <w:i/>
          <w:spacing w:val="-6"/>
          <w:sz w:val="22"/>
          <w:u w:val="single"/>
        </w:rPr>
        <w:t> </w:t>
      </w:r>
      <w:r>
        <w:rPr>
          <w:i/>
          <w:sz w:val="22"/>
          <w:u w:val="single"/>
        </w:rPr>
        <w:t>by</w:t>
      </w:r>
      <w:r>
        <w:rPr>
          <w:i/>
          <w:spacing w:val="-6"/>
          <w:sz w:val="22"/>
          <w:u w:val="single"/>
        </w:rPr>
        <w:t> </w:t>
      </w:r>
      <w:r>
        <w:rPr>
          <w:i/>
          <w:sz w:val="22"/>
          <w:u w:val="single"/>
        </w:rPr>
        <w:t>Unit</w:t>
      </w:r>
      <w:r>
        <w:rPr>
          <w:i/>
          <w:spacing w:val="-7"/>
          <w:sz w:val="22"/>
          <w:u w:val="single"/>
        </w:rPr>
        <w:t> </w:t>
      </w:r>
      <w:r>
        <w:rPr>
          <w:i/>
          <w:spacing w:val="-4"/>
          <w:sz w:val="22"/>
          <w:u w:val="single"/>
        </w:rPr>
        <w:t>Size</w:t>
      </w:r>
      <w:r>
        <w:rPr>
          <w:i/>
          <w:sz w:val="22"/>
          <w:u w:val="single"/>
        </w:rPr>
        <w:tab/>
      </w:r>
    </w:p>
    <w:p>
      <w:pPr>
        <w:pStyle w:val="BodyText"/>
        <w:spacing w:before="28" w:after="1"/>
        <w:rPr>
          <w:i/>
          <w:sz w:val="20"/>
        </w:rPr>
      </w:pP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56"/>
        <w:gridCol w:w="166"/>
        <w:gridCol w:w="1006"/>
        <w:gridCol w:w="166"/>
        <w:gridCol w:w="976"/>
        <w:gridCol w:w="166"/>
        <w:gridCol w:w="976"/>
      </w:tblGrid>
      <w:tr>
        <w:trPr>
          <w:trHeight w:val="193" w:hRule="atLeast"/>
        </w:trPr>
        <w:tc>
          <w:tcPr>
            <w:tcW w:w="1922" w:type="dxa"/>
            <w:gridSpan w:val="2"/>
          </w:tcPr>
          <w:p>
            <w:pPr>
              <w:pStyle w:val="TableParagraph"/>
              <w:rPr>
                <w:rFonts w:ascii="Times New Roman"/>
                <w:sz w:val="12"/>
              </w:rPr>
            </w:pPr>
          </w:p>
        </w:tc>
        <w:tc>
          <w:tcPr>
            <w:tcW w:w="1006" w:type="dxa"/>
            <w:tcBorders>
              <w:bottom w:val="single" w:sz="6" w:space="0" w:color="000000"/>
            </w:tcBorders>
          </w:tcPr>
          <w:p>
            <w:pPr>
              <w:pStyle w:val="TableParagraph"/>
              <w:spacing w:line="174" w:lineRule="exact"/>
              <w:ind w:left="328"/>
              <w:rPr>
                <w:rFonts w:ascii="Arial"/>
                <w:b/>
                <w:sz w:val="16"/>
              </w:rPr>
            </w:pPr>
            <w:r>
              <w:rPr>
                <w:rFonts w:ascii="Arial"/>
                <w:b/>
                <w:spacing w:val="-4"/>
                <w:w w:val="105"/>
                <w:sz w:val="16"/>
              </w:rPr>
              <w:t>2021</w:t>
            </w:r>
          </w:p>
        </w:tc>
        <w:tc>
          <w:tcPr>
            <w:tcW w:w="166" w:type="dxa"/>
          </w:tcPr>
          <w:p>
            <w:pPr>
              <w:pStyle w:val="TableParagraph"/>
              <w:rPr>
                <w:rFonts w:ascii="Times New Roman"/>
                <w:sz w:val="12"/>
              </w:rPr>
            </w:pPr>
          </w:p>
        </w:tc>
        <w:tc>
          <w:tcPr>
            <w:tcW w:w="976" w:type="dxa"/>
            <w:tcBorders>
              <w:bottom w:val="single" w:sz="6" w:space="0" w:color="000000"/>
            </w:tcBorders>
          </w:tcPr>
          <w:p>
            <w:pPr>
              <w:pStyle w:val="TableParagraph"/>
              <w:spacing w:line="174" w:lineRule="exact"/>
              <w:ind w:left="312"/>
              <w:rPr>
                <w:rFonts w:ascii="Arial"/>
                <w:b/>
                <w:sz w:val="16"/>
              </w:rPr>
            </w:pPr>
            <w:r>
              <w:rPr>
                <w:rFonts w:ascii="Arial"/>
                <w:b/>
                <w:spacing w:val="-4"/>
                <w:w w:val="105"/>
                <w:sz w:val="16"/>
              </w:rPr>
              <w:t>2020</w:t>
            </w:r>
          </w:p>
        </w:tc>
        <w:tc>
          <w:tcPr>
            <w:tcW w:w="166" w:type="dxa"/>
          </w:tcPr>
          <w:p>
            <w:pPr>
              <w:pStyle w:val="TableParagraph"/>
              <w:rPr>
                <w:rFonts w:ascii="Times New Roman"/>
                <w:sz w:val="12"/>
              </w:rPr>
            </w:pPr>
          </w:p>
        </w:tc>
        <w:tc>
          <w:tcPr>
            <w:tcW w:w="976" w:type="dxa"/>
            <w:tcBorders>
              <w:bottom w:val="single" w:sz="6" w:space="0" w:color="000000"/>
            </w:tcBorders>
          </w:tcPr>
          <w:p>
            <w:pPr>
              <w:pStyle w:val="TableParagraph"/>
              <w:spacing w:line="174" w:lineRule="exact"/>
              <w:ind w:left="310"/>
              <w:rPr>
                <w:rFonts w:ascii="Arial"/>
                <w:b/>
                <w:sz w:val="16"/>
              </w:rPr>
            </w:pPr>
            <w:r>
              <w:rPr>
                <w:rFonts w:ascii="Arial"/>
                <w:b/>
                <w:spacing w:val="-4"/>
                <w:w w:val="105"/>
                <w:sz w:val="16"/>
              </w:rPr>
              <w:t>2019</w:t>
            </w:r>
          </w:p>
        </w:tc>
      </w:tr>
      <w:tr>
        <w:trPr>
          <w:trHeight w:val="434" w:hRule="atLeast"/>
        </w:trPr>
        <w:tc>
          <w:tcPr>
            <w:tcW w:w="1756" w:type="dxa"/>
            <w:tcBorders>
              <w:bottom w:val="single" w:sz="6" w:space="0" w:color="000000"/>
            </w:tcBorders>
          </w:tcPr>
          <w:p>
            <w:pPr>
              <w:pStyle w:val="TableParagraph"/>
              <w:spacing w:before="57"/>
              <w:rPr>
                <w:rFonts w:ascii="Franklin Gothic Medium"/>
                <w:i/>
                <w:sz w:val="16"/>
              </w:rPr>
            </w:pPr>
          </w:p>
          <w:p>
            <w:pPr>
              <w:pStyle w:val="TableParagraph"/>
              <w:spacing w:line="175" w:lineRule="exact"/>
              <w:ind w:left="44"/>
              <w:rPr>
                <w:rFonts w:ascii="Arial"/>
                <w:b/>
                <w:sz w:val="16"/>
              </w:rPr>
            </w:pPr>
            <w:r>
              <w:rPr>
                <w:rFonts w:ascii="Arial"/>
                <w:b/>
                <w:spacing w:val="-4"/>
                <w:w w:val="105"/>
                <w:sz w:val="16"/>
              </w:rPr>
              <w:t>Unit</w:t>
            </w:r>
            <w:r>
              <w:rPr>
                <w:rFonts w:ascii="Arial"/>
                <w:b/>
                <w:spacing w:val="-1"/>
                <w:sz w:val="16"/>
              </w:rPr>
              <w:t> </w:t>
            </w:r>
            <w:r>
              <w:rPr>
                <w:rFonts w:ascii="Arial"/>
                <w:b/>
                <w:spacing w:val="-4"/>
                <w:w w:val="105"/>
                <w:sz w:val="16"/>
              </w:rPr>
              <w:t>Size</w:t>
            </w:r>
          </w:p>
        </w:tc>
        <w:tc>
          <w:tcPr>
            <w:tcW w:w="166" w:type="dxa"/>
          </w:tcPr>
          <w:p>
            <w:pPr>
              <w:pStyle w:val="TableParagraph"/>
              <w:rPr>
                <w:rFonts w:ascii="Times New Roman"/>
                <w:sz w:val="20"/>
              </w:rPr>
            </w:pPr>
          </w:p>
        </w:tc>
        <w:tc>
          <w:tcPr>
            <w:tcW w:w="1006" w:type="dxa"/>
            <w:tcBorders>
              <w:top w:val="single" w:sz="6" w:space="0" w:color="000000"/>
              <w:bottom w:val="single" w:sz="6" w:space="0" w:color="000000"/>
            </w:tcBorders>
          </w:tcPr>
          <w:p>
            <w:pPr>
              <w:pStyle w:val="TableParagraph"/>
              <w:spacing w:before="14"/>
              <w:ind w:right="163"/>
              <w:jc w:val="right"/>
              <w:rPr>
                <w:sz w:val="16"/>
              </w:rPr>
            </w:pPr>
            <w:r>
              <w:rPr>
                <w:spacing w:val="-2"/>
                <w:w w:val="105"/>
                <w:sz w:val="16"/>
              </w:rPr>
              <w:t>Weighted</w:t>
            </w:r>
          </w:p>
          <w:p>
            <w:pPr>
              <w:pStyle w:val="TableParagraph"/>
              <w:spacing w:line="175" w:lineRule="exact" w:before="41"/>
              <w:ind w:right="67"/>
              <w:jc w:val="right"/>
              <w:rPr>
                <w:sz w:val="16"/>
              </w:rPr>
            </w:pPr>
            <w:r>
              <w:rPr>
                <w:sz w:val="16"/>
              </w:rPr>
              <w:t>Average</w:t>
            </w:r>
            <w:r>
              <w:rPr>
                <w:spacing w:val="25"/>
                <w:sz w:val="16"/>
              </w:rPr>
              <w:t> </w:t>
            </w:r>
            <w:r>
              <w:rPr>
                <w:spacing w:val="-5"/>
                <w:sz w:val="16"/>
              </w:rPr>
              <w:t>(a)</w:t>
            </w:r>
          </w:p>
        </w:tc>
        <w:tc>
          <w:tcPr>
            <w:tcW w:w="166" w:type="dxa"/>
          </w:tcPr>
          <w:p>
            <w:pPr>
              <w:pStyle w:val="TableParagraph"/>
              <w:rPr>
                <w:rFonts w:ascii="Times New Roman"/>
                <w:sz w:val="20"/>
              </w:rPr>
            </w:pPr>
          </w:p>
        </w:tc>
        <w:tc>
          <w:tcPr>
            <w:tcW w:w="976" w:type="dxa"/>
            <w:tcBorders>
              <w:top w:val="single" w:sz="6" w:space="0" w:color="000000"/>
              <w:bottom w:val="single" w:sz="6" w:space="0" w:color="000000"/>
            </w:tcBorders>
          </w:tcPr>
          <w:p>
            <w:pPr>
              <w:pStyle w:val="TableParagraph"/>
              <w:spacing w:before="14"/>
              <w:ind w:right="150"/>
              <w:jc w:val="right"/>
              <w:rPr>
                <w:sz w:val="16"/>
              </w:rPr>
            </w:pPr>
            <w:r>
              <w:rPr>
                <w:spacing w:val="-2"/>
                <w:w w:val="105"/>
                <w:sz w:val="16"/>
              </w:rPr>
              <w:t>Weighted</w:t>
            </w:r>
          </w:p>
          <w:p>
            <w:pPr>
              <w:pStyle w:val="TableParagraph"/>
              <w:spacing w:line="175" w:lineRule="exact" w:before="41"/>
              <w:ind w:right="53"/>
              <w:jc w:val="right"/>
              <w:rPr>
                <w:sz w:val="16"/>
              </w:rPr>
            </w:pPr>
            <w:r>
              <w:rPr>
                <w:sz w:val="16"/>
              </w:rPr>
              <w:t>Average</w:t>
            </w:r>
            <w:r>
              <w:rPr>
                <w:spacing w:val="25"/>
                <w:sz w:val="16"/>
              </w:rPr>
              <w:t> </w:t>
            </w:r>
            <w:r>
              <w:rPr>
                <w:spacing w:val="-5"/>
                <w:sz w:val="16"/>
              </w:rPr>
              <w:t>(a)</w:t>
            </w:r>
          </w:p>
        </w:tc>
        <w:tc>
          <w:tcPr>
            <w:tcW w:w="166" w:type="dxa"/>
          </w:tcPr>
          <w:p>
            <w:pPr>
              <w:pStyle w:val="TableParagraph"/>
              <w:rPr>
                <w:rFonts w:ascii="Times New Roman"/>
                <w:sz w:val="20"/>
              </w:rPr>
            </w:pPr>
          </w:p>
        </w:tc>
        <w:tc>
          <w:tcPr>
            <w:tcW w:w="976" w:type="dxa"/>
            <w:tcBorders>
              <w:top w:val="single" w:sz="6" w:space="0" w:color="000000"/>
              <w:bottom w:val="single" w:sz="6" w:space="0" w:color="000000"/>
            </w:tcBorders>
          </w:tcPr>
          <w:p>
            <w:pPr>
              <w:pStyle w:val="TableParagraph"/>
              <w:spacing w:before="14"/>
              <w:ind w:right="151"/>
              <w:jc w:val="right"/>
              <w:rPr>
                <w:sz w:val="16"/>
              </w:rPr>
            </w:pPr>
            <w:r>
              <w:rPr>
                <w:spacing w:val="-2"/>
                <w:w w:val="105"/>
                <w:sz w:val="16"/>
              </w:rPr>
              <w:t>Weighted</w:t>
            </w:r>
          </w:p>
          <w:p>
            <w:pPr>
              <w:pStyle w:val="TableParagraph"/>
              <w:spacing w:line="175" w:lineRule="exact" w:before="41"/>
              <w:ind w:right="55"/>
              <w:jc w:val="right"/>
              <w:rPr>
                <w:sz w:val="16"/>
              </w:rPr>
            </w:pPr>
            <w:r>
              <w:rPr>
                <w:sz w:val="16"/>
              </w:rPr>
              <w:t>Average</w:t>
            </w:r>
            <w:r>
              <w:rPr>
                <w:spacing w:val="25"/>
                <w:sz w:val="16"/>
              </w:rPr>
              <w:t> </w:t>
            </w:r>
            <w:r>
              <w:rPr>
                <w:spacing w:val="-5"/>
                <w:sz w:val="16"/>
              </w:rPr>
              <w:t>(a)</w:t>
            </w:r>
          </w:p>
        </w:tc>
      </w:tr>
      <w:tr>
        <w:trPr>
          <w:trHeight w:val="219" w:hRule="atLeast"/>
        </w:trPr>
        <w:tc>
          <w:tcPr>
            <w:tcW w:w="1756" w:type="dxa"/>
            <w:tcBorders>
              <w:top w:val="single" w:sz="6" w:space="0" w:color="000000"/>
            </w:tcBorders>
          </w:tcPr>
          <w:p>
            <w:pPr>
              <w:pStyle w:val="TableParagraph"/>
              <w:spacing w:before="14"/>
              <w:ind w:left="44"/>
              <w:rPr>
                <w:sz w:val="16"/>
              </w:rPr>
            </w:pPr>
            <w:r>
              <w:rPr>
                <w:sz w:val="16"/>
              </w:rPr>
              <w:t>Studio</w:t>
            </w:r>
            <w:r>
              <w:rPr>
                <w:spacing w:val="-1"/>
                <w:sz w:val="16"/>
              </w:rPr>
              <w:t> </w:t>
            </w:r>
            <w:r>
              <w:rPr>
                <w:sz w:val="16"/>
              </w:rPr>
              <w:t>&amp;</w:t>
            </w:r>
            <w:r>
              <w:rPr>
                <w:spacing w:val="-5"/>
                <w:sz w:val="16"/>
              </w:rPr>
              <w:t> </w:t>
            </w:r>
            <w:r>
              <w:rPr>
                <w:sz w:val="16"/>
              </w:rPr>
              <w:t>1</w:t>
            </w:r>
            <w:r>
              <w:rPr>
                <w:spacing w:val="-1"/>
                <w:sz w:val="16"/>
              </w:rPr>
              <w:t> </w:t>
            </w:r>
            <w:r>
              <w:rPr>
                <w:sz w:val="16"/>
              </w:rPr>
              <w:t>Bedroom</w:t>
            </w:r>
            <w:r>
              <w:rPr>
                <w:spacing w:val="-18"/>
                <w:sz w:val="16"/>
              </w:rPr>
              <w:t> </w:t>
            </w:r>
            <w:r>
              <w:rPr>
                <w:spacing w:val="-5"/>
                <w:sz w:val="16"/>
              </w:rPr>
              <w:t>(b)</w:t>
            </w:r>
          </w:p>
        </w:tc>
        <w:tc>
          <w:tcPr>
            <w:tcW w:w="166" w:type="dxa"/>
          </w:tcPr>
          <w:p>
            <w:pPr>
              <w:pStyle w:val="TableParagraph"/>
              <w:rPr>
                <w:rFonts w:ascii="Times New Roman"/>
                <w:sz w:val="14"/>
              </w:rPr>
            </w:pPr>
          </w:p>
        </w:tc>
        <w:tc>
          <w:tcPr>
            <w:tcW w:w="1006" w:type="dxa"/>
            <w:tcBorders>
              <w:top w:val="single" w:sz="6" w:space="0" w:color="000000"/>
            </w:tcBorders>
          </w:tcPr>
          <w:p>
            <w:pPr>
              <w:pStyle w:val="TableParagraph"/>
              <w:spacing w:before="14"/>
              <w:ind w:right="43"/>
              <w:jc w:val="right"/>
              <w:rPr>
                <w:sz w:val="16"/>
              </w:rPr>
            </w:pPr>
            <w:r>
              <w:rPr>
                <w:spacing w:val="-2"/>
                <w:w w:val="105"/>
                <w:sz w:val="16"/>
              </w:rPr>
              <w:t>$1,162</w:t>
            </w:r>
          </w:p>
        </w:tc>
        <w:tc>
          <w:tcPr>
            <w:tcW w:w="166" w:type="dxa"/>
          </w:tcPr>
          <w:p>
            <w:pPr>
              <w:pStyle w:val="TableParagraph"/>
              <w:rPr>
                <w:rFonts w:ascii="Times New Roman"/>
                <w:sz w:val="14"/>
              </w:rPr>
            </w:pPr>
          </w:p>
        </w:tc>
        <w:tc>
          <w:tcPr>
            <w:tcW w:w="976" w:type="dxa"/>
            <w:tcBorders>
              <w:top w:val="single" w:sz="6" w:space="0" w:color="000000"/>
            </w:tcBorders>
          </w:tcPr>
          <w:p>
            <w:pPr>
              <w:pStyle w:val="TableParagraph"/>
              <w:spacing w:before="14"/>
              <w:ind w:right="45"/>
              <w:jc w:val="right"/>
              <w:rPr>
                <w:sz w:val="16"/>
              </w:rPr>
            </w:pPr>
            <w:r>
              <w:rPr>
                <w:spacing w:val="-2"/>
                <w:w w:val="105"/>
                <w:sz w:val="16"/>
              </w:rPr>
              <w:t>$1,312</w:t>
            </w:r>
          </w:p>
        </w:tc>
        <w:tc>
          <w:tcPr>
            <w:tcW w:w="166" w:type="dxa"/>
          </w:tcPr>
          <w:p>
            <w:pPr>
              <w:pStyle w:val="TableParagraph"/>
              <w:rPr>
                <w:rFonts w:ascii="Times New Roman"/>
                <w:sz w:val="14"/>
              </w:rPr>
            </w:pPr>
          </w:p>
        </w:tc>
        <w:tc>
          <w:tcPr>
            <w:tcW w:w="976" w:type="dxa"/>
            <w:tcBorders>
              <w:top w:val="single" w:sz="6" w:space="0" w:color="000000"/>
            </w:tcBorders>
          </w:tcPr>
          <w:p>
            <w:pPr>
              <w:pStyle w:val="TableParagraph"/>
              <w:spacing w:before="14"/>
              <w:ind w:right="47"/>
              <w:jc w:val="right"/>
              <w:rPr>
                <w:sz w:val="16"/>
              </w:rPr>
            </w:pPr>
            <w:r>
              <w:rPr>
                <w:spacing w:val="-2"/>
                <w:w w:val="105"/>
                <w:sz w:val="16"/>
              </w:rPr>
              <w:t>$1,344</w:t>
            </w:r>
          </w:p>
        </w:tc>
      </w:tr>
      <w:tr>
        <w:trPr>
          <w:trHeight w:val="224" w:hRule="atLeast"/>
        </w:trPr>
        <w:tc>
          <w:tcPr>
            <w:tcW w:w="1756" w:type="dxa"/>
          </w:tcPr>
          <w:p>
            <w:pPr>
              <w:pStyle w:val="TableParagraph"/>
              <w:spacing w:before="19"/>
              <w:ind w:left="44"/>
              <w:rPr>
                <w:sz w:val="16"/>
              </w:rPr>
            </w:pPr>
            <w:r>
              <w:rPr>
                <w:w w:val="105"/>
                <w:sz w:val="16"/>
              </w:rPr>
              <w:t>2</w:t>
            </w:r>
            <w:r>
              <w:rPr>
                <w:spacing w:val="-8"/>
                <w:w w:val="105"/>
                <w:sz w:val="16"/>
              </w:rPr>
              <w:t> </w:t>
            </w:r>
            <w:r>
              <w:rPr>
                <w:spacing w:val="-2"/>
                <w:w w:val="105"/>
                <w:sz w:val="16"/>
              </w:rPr>
              <w:t>Bedroom</w:t>
            </w:r>
          </w:p>
        </w:tc>
        <w:tc>
          <w:tcPr>
            <w:tcW w:w="166" w:type="dxa"/>
          </w:tcPr>
          <w:p>
            <w:pPr>
              <w:pStyle w:val="TableParagraph"/>
              <w:rPr>
                <w:rFonts w:ascii="Times New Roman"/>
                <w:sz w:val="16"/>
              </w:rPr>
            </w:pPr>
          </w:p>
        </w:tc>
        <w:tc>
          <w:tcPr>
            <w:tcW w:w="1006" w:type="dxa"/>
          </w:tcPr>
          <w:p>
            <w:pPr>
              <w:pStyle w:val="TableParagraph"/>
              <w:spacing w:before="19"/>
              <w:ind w:right="43"/>
              <w:jc w:val="right"/>
              <w:rPr>
                <w:sz w:val="16"/>
              </w:rPr>
            </w:pPr>
            <w:r>
              <w:rPr>
                <w:spacing w:val="-2"/>
                <w:w w:val="105"/>
                <w:sz w:val="16"/>
              </w:rPr>
              <w:t>$1,007</w:t>
            </w:r>
          </w:p>
        </w:tc>
        <w:tc>
          <w:tcPr>
            <w:tcW w:w="166" w:type="dxa"/>
          </w:tcPr>
          <w:p>
            <w:pPr>
              <w:pStyle w:val="TableParagraph"/>
              <w:rPr>
                <w:rFonts w:ascii="Times New Roman"/>
                <w:sz w:val="16"/>
              </w:rPr>
            </w:pPr>
          </w:p>
        </w:tc>
        <w:tc>
          <w:tcPr>
            <w:tcW w:w="976" w:type="dxa"/>
          </w:tcPr>
          <w:p>
            <w:pPr>
              <w:pStyle w:val="TableParagraph"/>
              <w:spacing w:before="19"/>
              <w:ind w:right="45"/>
              <w:jc w:val="right"/>
              <w:rPr>
                <w:sz w:val="16"/>
              </w:rPr>
            </w:pPr>
            <w:r>
              <w:rPr>
                <w:spacing w:val="-2"/>
                <w:w w:val="105"/>
                <w:sz w:val="16"/>
              </w:rPr>
              <w:t>$1,282</w:t>
            </w:r>
          </w:p>
        </w:tc>
        <w:tc>
          <w:tcPr>
            <w:tcW w:w="166" w:type="dxa"/>
          </w:tcPr>
          <w:p>
            <w:pPr>
              <w:pStyle w:val="TableParagraph"/>
              <w:rPr>
                <w:rFonts w:ascii="Times New Roman"/>
                <w:sz w:val="16"/>
              </w:rPr>
            </w:pPr>
          </w:p>
        </w:tc>
        <w:tc>
          <w:tcPr>
            <w:tcW w:w="976" w:type="dxa"/>
          </w:tcPr>
          <w:p>
            <w:pPr>
              <w:pStyle w:val="TableParagraph"/>
              <w:spacing w:before="19"/>
              <w:ind w:right="47"/>
              <w:jc w:val="right"/>
              <w:rPr>
                <w:sz w:val="16"/>
              </w:rPr>
            </w:pPr>
            <w:r>
              <w:rPr>
                <w:spacing w:val="-2"/>
                <w:w w:val="105"/>
                <w:sz w:val="16"/>
              </w:rPr>
              <w:t>$1,077</w:t>
            </w:r>
          </w:p>
        </w:tc>
      </w:tr>
      <w:tr>
        <w:trPr>
          <w:trHeight w:val="224" w:hRule="atLeast"/>
        </w:trPr>
        <w:tc>
          <w:tcPr>
            <w:tcW w:w="1756" w:type="dxa"/>
          </w:tcPr>
          <w:p>
            <w:pPr>
              <w:pStyle w:val="TableParagraph"/>
              <w:spacing w:before="19"/>
              <w:ind w:left="44"/>
              <w:rPr>
                <w:sz w:val="16"/>
              </w:rPr>
            </w:pPr>
            <w:r>
              <w:rPr>
                <w:w w:val="105"/>
                <w:sz w:val="16"/>
              </w:rPr>
              <w:t>3</w:t>
            </w:r>
            <w:r>
              <w:rPr>
                <w:spacing w:val="-8"/>
                <w:w w:val="105"/>
                <w:sz w:val="16"/>
              </w:rPr>
              <w:t> </w:t>
            </w:r>
            <w:r>
              <w:rPr>
                <w:spacing w:val="-2"/>
                <w:w w:val="105"/>
                <w:sz w:val="16"/>
              </w:rPr>
              <w:t>Bedroom</w:t>
            </w:r>
          </w:p>
        </w:tc>
        <w:tc>
          <w:tcPr>
            <w:tcW w:w="166" w:type="dxa"/>
          </w:tcPr>
          <w:p>
            <w:pPr>
              <w:pStyle w:val="TableParagraph"/>
              <w:rPr>
                <w:rFonts w:ascii="Times New Roman"/>
                <w:sz w:val="16"/>
              </w:rPr>
            </w:pPr>
          </w:p>
        </w:tc>
        <w:tc>
          <w:tcPr>
            <w:tcW w:w="1006" w:type="dxa"/>
          </w:tcPr>
          <w:p>
            <w:pPr>
              <w:pStyle w:val="TableParagraph"/>
              <w:spacing w:before="19"/>
              <w:ind w:right="43"/>
              <w:jc w:val="right"/>
              <w:rPr>
                <w:sz w:val="16"/>
              </w:rPr>
            </w:pPr>
            <w:r>
              <w:rPr>
                <w:spacing w:val="-2"/>
                <w:w w:val="105"/>
                <w:sz w:val="16"/>
              </w:rPr>
              <w:t>$1,136</w:t>
            </w:r>
          </w:p>
        </w:tc>
        <w:tc>
          <w:tcPr>
            <w:tcW w:w="166" w:type="dxa"/>
          </w:tcPr>
          <w:p>
            <w:pPr>
              <w:pStyle w:val="TableParagraph"/>
              <w:rPr>
                <w:rFonts w:ascii="Times New Roman"/>
                <w:sz w:val="16"/>
              </w:rPr>
            </w:pPr>
          </w:p>
        </w:tc>
        <w:tc>
          <w:tcPr>
            <w:tcW w:w="976" w:type="dxa"/>
          </w:tcPr>
          <w:p>
            <w:pPr>
              <w:pStyle w:val="TableParagraph"/>
              <w:spacing w:before="19"/>
              <w:ind w:right="45"/>
              <w:jc w:val="right"/>
              <w:rPr>
                <w:sz w:val="16"/>
              </w:rPr>
            </w:pPr>
            <w:r>
              <w:rPr>
                <w:spacing w:val="-2"/>
                <w:w w:val="105"/>
                <w:sz w:val="16"/>
              </w:rPr>
              <w:t>$1,090</w:t>
            </w:r>
          </w:p>
        </w:tc>
        <w:tc>
          <w:tcPr>
            <w:tcW w:w="166" w:type="dxa"/>
          </w:tcPr>
          <w:p>
            <w:pPr>
              <w:pStyle w:val="TableParagraph"/>
              <w:rPr>
                <w:rFonts w:ascii="Times New Roman"/>
                <w:sz w:val="16"/>
              </w:rPr>
            </w:pPr>
          </w:p>
        </w:tc>
        <w:tc>
          <w:tcPr>
            <w:tcW w:w="976" w:type="dxa"/>
          </w:tcPr>
          <w:p>
            <w:pPr>
              <w:pStyle w:val="TableParagraph"/>
              <w:spacing w:before="19"/>
              <w:ind w:right="47"/>
              <w:jc w:val="right"/>
              <w:rPr>
                <w:sz w:val="16"/>
              </w:rPr>
            </w:pPr>
            <w:r>
              <w:rPr>
                <w:spacing w:val="-2"/>
                <w:w w:val="105"/>
                <w:sz w:val="16"/>
              </w:rPr>
              <w:t>$1,033</w:t>
            </w:r>
          </w:p>
        </w:tc>
      </w:tr>
      <w:tr>
        <w:trPr>
          <w:trHeight w:val="214" w:hRule="atLeast"/>
        </w:trPr>
        <w:tc>
          <w:tcPr>
            <w:tcW w:w="1756" w:type="dxa"/>
            <w:tcBorders>
              <w:bottom w:val="single" w:sz="6" w:space="0" w:color="000000"/>
            </w:tcBorders>
          </w:tcPr>
          <w:p>
            <w:pPr>
              <w:pStyle w:val="TableParagraph"/>
              <w:spacing w:line="175" w:lineRule="exact" w:before="19"/>
              <w:ind w:left="44"/>
              <w:rPr>
                <w:sz w:val="16"/>
              </w:rPr>
            </w:pPr>
            <w:r>
              <w:rPr>
                <w:sz w:val="16"/>
              </w:rPr>
              <w:t>4+</w:t>
            </w:r>
            <w:r>
              <w:rPr>
                <w:spacing w:val="-5"/>
                <w:sz w:val="16"/>
              </w:rPr>
              <w:t> </w:t>
            </w:r>
            <w:r>
              <w:rPr>
                <w:spacing w:val="-2"/>
                <w:sz w:val="16"/>
              </w:rPr>
              <w:t>Bedroom</w:t>
            </w:r>
          </w:p>
        </w:tc>
        <w:tc>
          <w:tcPr>
            <w:tcW w:w="166" w:type="dxa"/>
          </w:tcPr>
          <w:p>
            <w:pPr>
              <w:pStyle w:val="TableParagraph"/>
              <w:rPr>
                <w:rFonts w:ascii="Times New Roman"/>
                <w:sz w:val="14"/>
              </w:rPr>
            </w:pPr>
          </w:p>
        </w:tc>
        <w:tc>
          <w:tcPr>
            <w:tcW w:w="1006" w:type="dxa"/>
            <w:tcBorders>
              <w:bottom w:val="single" w:sz="6" w:space="0" w:color="000000"/>
            </w:tcBorders>
          </w:tcPr>
          <w:p>
            <w:pPr>
              <w:pStyle w:val="TableParagraph"/>
              <w:spacing w:line="175" w:lineRule="exact" w:before="19"/>
              <w:ind w:right="43"/>
              <w:jc w:val="right"/>
              <w:rPr>
                <w:sz w:val="16"/>
              </w:rPr>
            </w:pPr>
            <w:r>
              <w:rPr>
                <w:spacing w:val="-2"/>
                <w:w w:val="105"/>
                <w:sz w:val="16"/>
              </w:rPr>
              <w:t>$1,049</w:t>
            </w:r>
          </w:p>
        </w:tc>
        <w:tc>
          <w:tcPr>
            <w:tcW w:w="166" w:type="dxa"/>
          </w:tcPr>
          <w:p>
            <w:pPr>
              <w:pStyle w:val="TableParagraph"/>
              <w:rPr>
                <w:rFonts w:ascii="Times New Roman"/>
                <w:sz w:val="14"/>
              </w:rPr>
            </w:pPr>
          </w:p>
        </w:tc>
        <w:tc>
          <w:tcPr>
            <w:tcW w:w="976" w:type="dxa"/>
            <w:tcBorders>
              <w:bottom w:val="single" w:sz="6" w:space="0" w:color="000000"/>
            </w:tcBorders>
          </w:tcPr>
          <w:p>
            <w:pPr>
              <w:pStyle w:val="TableParagraph"/>
              <w:spacing w:line="175" w:lineRule="exact" w:before="19"/>
              <w:ind w:right="47"/>
              <w:jc w:val="right"/>
              <w:rPr>
                <w:sz w:val="16"/>
              </w:rPr>
            </w:pPr>
            <w:r>
              <w:rPr>
                <w:spacing w:val="-4"/>
                <w:w w:val="105"/>
                <w:sz w:val="16"/>
              </w:rPr>
              <w:t>$916</w:t>
            </w:r>
          </w:p>
        </w:tc>
        <w:tc>
          <w:tcPr>
            <w:tcW w:w="166" w:type="dxa"/>
          </w:tcPr>
          <w:p>
            <w:pPr>
              <w:pStyle w:val="TableParagraph"/>
              <w:rPr>
                <w:rFonts w:ascii="Times New Roman"/>
                <w:sz w:val="14"/>
              </w:rPr>
            </w:pPr>
          </w:p>
        </w:tc>
        <w:tc>
          <w:tcPr>
            <w:tcW w:w="976" w:type="dxa"/>
            <w:tcBorders>
              <w:bottom w:val="single" w:sz="6" w:space="0" w:color="000000"/>
            </w:tcBorders>
          </w:tcPr>
          <w:p>
            <w:pPr>
              <w:pStyle w:val="TableParagraph"/>
              <w:spacing w:line="175" w:lineRule="exact" w:before="19"/>
              <w:ind w:right="49"/>
              <w:jc w:val="right"/>
              <w:rPr>
                <w:sz w:val="16"/>
              </w:rPr>
            </w:pPr>
            <w:r>
              <w:rPr>
                <w:spacing w:val="-4"/>
                <w:w w:val="105"/>
                <w:sz w:val="16"/>
              </w:rPr>
              <w:t>$937</w:t>
            </w:r>
          </w:p>
        </w:tc>
      </w:tr>
      <w:tr>
        <w:trPr>
          <w:trHeight w:val="199" w:hRule="atLeast"/>
        </w:trPr>
        <w:tc>
          <w:tcPr>
            <w:tcW w:w="1756" w:type="dxa"/>
            <w:tcBorders>
              <w:top w:val="single" w:sz="6" w:space="0" w:color="000000"/>
            </w:tcBorders>
          </w:tcPr>
          <w:p>
            <w:pPr>
              <w:pStyle w:val="TableParagraph"/>
              <w:spacing w:line="165" w:lineRule="exact" w:before="14"/>
              <w:ind w:left="44"/>
              <w:rPr>
                <w:rFonts w:ascii="Arial"/>
                <w:b/>
                <w:sz w:val="16"/>
              </w:rPr>
            </w:pPr>
            <w:r>
              <w:rPr>
                <w:rFonts w:ascii="Arial"/>
                <w:b/>
                <w:w w:val="105"/>
                <w:sz w:val="16"/>
              </w:rPr>
              <w:t>Total,</w:t>
            </w:r>
            <w:r>
              <w:rPr>
                <w:rFonts w:ascii="Arial"/>
                <w:b/>
                <w:spacing w:val="-8"/>
                <w:w w:val="105"/>
                <w:sz w:val="16"/>
              </w:rPr>
              <w:t> </w:t>
            </w:r>
            <w:r>
              <w:rPr>
                <w:rFonts w:ascii="Arial"/>
                <w:b/>
                <w:w w:val="105"/>
                <w:sz w:val="16"/>
              </w:rPr>
              <w:t>All</w:t>
            </w:r>
            <w:r>
              <w:rPr>
                <w:rFonts w:ascii="Arial"/>
                <w:b/>
                <w:spacing w:val="-8"/>
                <w:w w:val="105"/>
                <w:sz w:val="16"/>
              </w:rPr>
              <w:t> </w:t>
            </w:r>
            <w:r>
              <w:rPr>
                <w:rFonts w:ascii="Arial"/>
                <w:b/>
                <w:spacing w:val="-2"/>
                <w:w w:val="105"/>
                <w:sz w:val="16"/>
              </w:rPr>
              <w:t>Sizes</w:t>
            </w:r>
          </w:p>
        </w:tc>
        <w:tc>
          <w:tcPr>
            <w:tcW w:w="166" w:type="dxa"/>
          </w:tcPr>
          <w:p>
            <w:pPr>
              <w:pStyle w:val="TableParagraph"/>
              <w:rPr>
                <w:rFonts w:ascii="Times New Roman"/>
                <w:sz w:val="12"/>
              </w:rPr>
            </w:pPr>
          </w:p>
        </w:tc>
        <w:tc>
          <w:tcPr>
            <w:tcW w:w="1006" w:type="dxa"/>
            <w:tcBorders>
              <w:top w:val="single" w:sz="6" w:space="0" w:color="000000"/>
            </w:tcBorders>
          </w:tcPr>
          <w:p>
            <w:pPr>
              <w:pStyle w:val="TableParagraph"/>
              <w:spacing w:line="165" w:lineRule="exact" w:before="14"/>
              <w:ind w:right="43"/>
              <w:jc w:val="right"/>
              <w:rPr>
                <w:rFonts w:ascii="Arial"/>
                <w:b/>
                <w:sz w:val="16"/>
              </w:rPr>
            </w:pPr>
            <w:r>
              <w:rPr>
                <w:rFonts w:ascii="Arial"/>
                <w:b/>
                <w:spacing w:val="-2"/>
                <w:w w:val="105"/>
                <w:sz w:val="16"/>
              </w:rPr>
              <w:t>$1,062</w:t>
            </w:r>
          </w:p>
        </w:tc>
        <w:tc>
          <w:tcPr>
            <w:tcW w:w="166" w:type="dxa"/>
          </w:tcPr>
          <w:p>
            <w:pPr>
              <w:pStyle w:val="TableParagraph"/>
              <w:rPr>
                <w:rFonts w:ascii="Times New Roman"/>
                <w:sz w:val="12"/>
              </w:rPr>
            </w:pPr>
          </w:p>
        </w:tc>
        <w:tc>
          <w:tcPr>
            <w:tcW w:w="976" w:type="dxa"/>
            <w:tcBorders>
              <w:top w:val="single" w:sz="6" w:space="0" w:color="000000"/>
            </w:tcBorders>
          </w:tcPr>
          <w:p>
            <w:pPr>
              <w:pStyle w:val="TableParagraph"/>
              <w:spacing w:line="165" w:lineRule="exact" w:before="14"/>
              <w:ind w:right="45"/>
              <w:jc w:val="right"/>
              <w:rPr>
                <w:rFonts w:ascii="Arial"/>
                <w:b/>
                <w:sz w:val="16"/>
              </w:rPr>
            </w:pPr>
            <w:r>
              <w:rPr>
                <w:rFonts w:ascii="Arial"/>
                <w:b/>
                <w:spacing w:val="-2"/>
                <w:w w:val="105"/>
                <w:sz w:val="16"/>
              </w:rPr>
              <w:t>$1,050</w:t>
            </w:r>
          </w:p>
        </w:tc>
        <w:tc>
          <w:tcPr>
            <w:tcW w:w="166" w:type="dxa"/>
          </w:tcPr>
          <w:p>
            <w:pPr>
              <w:pStyle w:val="TableParagraph"/>
              <w:rPr>
                <w:rFonts w:ascii="Times New Roman"/>
                <w:sz w:val="12"/>
              </w:rPr>
            </w:pPr>
          </w:p>
        </w:tc>
        <w:tc>
          <w:tcPr>
            <w:tcW w:w="976" w:type="dxa"/>
            <w:tcBorders>
              <w:top w:val="single" w:sz="6" w:space="0" w:color="000000"/>
            </w:tcBorders>
          </w:tcPr>
          <w:p>
            <w:pPr>
              <w:pStyle w:val="TableParagraph"/>
              <w:spacing w:line="165" w:lineRule="exact" w:before="14"/>
              <w:ind w:right="47"/>
              <w:jc w:val="right"/>
              <w:rPr>
                <w:rFonts w:ascii="Arial"/>
                <w:b/>
                <w:sz w:val="16"/>
              </w:rPr>
            </w:pPr>
            <w:r>
              <w:rPr>
                <w:rFonts w:ascii="Arial"/>
                <w:b/>
                <w:spacing w:val="-2"/>
                <w:w w:val="105"/>
                <w:sz w:val="16"/>
              </w:rPr>
              <w:t>$1,003</w:t>
            </w:r>
          </w:p>
        </w:tc>
      </w:tr>
    </w:tbl>
    <w:p>
      <w:pPr>
        <w:pStyle w:val="BodyText"/>
        <w:spacing w:before="10"/>
        <w:rPr>
          <w:i/>
          <w:sz w:val="18"/>
        </w:rPr>
      </w:pPr>
      <w:r>
        <w:rPr>
          <w:i/>
          <w:sz w:val="18"/>
        </w:rPr>
        <mc:AlternateContent>
          <mc:Choice Requires="wps">
            <w:drawing>
              <wp:anchor distT="0" distB="0" distL="0" distR="0" allowOverlap="1" layoutInCell="1" locked="0" behindDoc="1" simplePos="0" relativeHeight="487594496">
                <wp:simplePos x="0" y="0"/>
                <wp:positionH relativeFrom="page">
                  <wp:posOffset>1097280</wp:posOffset>
                </wp:positionH>
                <wp:positionV relativeFrom="paragraph">
                  <wp:posOffset>151255</wp:posOffset>
                </wp:positionV>
                <wp:extent cx="5507355" cy="9525"/>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5507355" cy="9525"/>
                          <a:chExt cx="5507355" cy="9525"/>
                        </a:xfrm>
                      </wpg:grpSpPr>
                      <wps:wsp>
                        <wps:cNvPr id="75" name="Graphic 75"/>
                        <wps:cNvSpPr/>
                        <wps:spPr>
                          <a:xfrm>
                            <a:off x="4755" y="0"/>
                            <a:ext cx="5502910" cy="9525"/>
                          </a:xfrm>
                          <a:custGeom>
                            <a:avLst/>
                            <a:gdLst/>
                            <a:ahLst/>
                            <a:cxnLst/>
                            <a:rect l="l" t="t" r="r" b="b"/>
                            <a:pathLst>
                              <a:path w="5502910" h="9525">
                                <a:moveTo>
                                  <a:pt x="5502599" y="0"/>
                                </a:moveTo>
                                <a:lnTo>
                                  <a:pt x="0" y="0"/>
                                </a:lnTo>
                                <a:lnTo>
                                  <a:pt x="0" y="9369"/>
                                </a:lnTo>
                                <a:lnTo>
                                  <a:pt x="5502599" y="9441"/>
                                </a:lnTo>
                                <a:lnTo>
                                  <a:pt x="5502599"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0" y="0"/>
                            <a:ext cx="5507355" cy="9525"/>
                          </a:xfrm>
                          <a:custGeom>
                            <a:avLst/>
                            <a:gdLst/>
                            <a:ahLst/>
                            <a:cxnLst/>
                            <a:rect l="l" t="t" r="r" b="b"/>
                            <a:pathLst>
                              <a:path w="5507355" h="9525">
                                <a:moveTo>
                                  <a:pt x="5507354" y="0"/>
                                </a:moveTo>
                                <a:lnTo>
                                  <a:pt x="0" y="0"/>
                                </a:lnTo>
                                <a:lnTo>
                                  <a:pt x="0" y="9369"/>
                                </a:lnTo>
                                <a:lnTo>
                                  <a:pt x="5507354" y="9441"/>
                                </a:lnTo>
                                <a:lnTo>
                                  <a:pt x="55073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6.400002pt;margin-top:11.909904pt;width:433.65pt;height:.75pt;mso-position-horizontal-relative:page;mso-position-vertical-relative:paragraph;z-index:-15721984;mso-wrap-distance-left:0;mso-wrap-distance-right:0" id="docshapegroup63" coordorigin="1728,238" coordsize="8673,15">
                <v:rect style="position:absolute;left:1735;top:238;width:8666;height:15" id="docshape64" filled="true" fillcolor="#000000" stroked="false">
                  <v:fill type="solid"/>
                </v:rect>
                <v:rect style="position:absolute;left:1728;top:238;width:8673;height:15" id="docshape65" filled="true" fillcolor="#000000" stroked="false">
                  <v:fill type="solid"/>
                </v:rect>
                <w10:wrap type="topAndBottom"/>
              </v:group>
            </w:pict>
          </mc:Fallback>
        </mc:AlternateContent>
      </w:r>
    </w:p>
    <w:p>
      <w:pPr>
        <w:spacing w:before="0"/>
        <w:ind w:left="1008" w:right="0" w:firstLine="0"/>
        <w:jc w:val="left"/>
        <w:rPr>
          <w:rFonts w:ascii="Arial MT"/>
          <w:sz w:val="16"/>
        </w:rPr>
      </w:pPr>
      <w:r>
        <w:rPr>
          <w:rFonts w:ascii="Arial MT"/>
          <w:spacing w:val="-2"/>
          <w:sz w:val="16"/>
        </w:rPr>
        <w:t>Notes:</w:t>
      </w:r>
    </w:p>
    <w:p>
      <w:pPr>
        <w:pStyle w:val="ListParagraph"/>
        <w:numPr>
          <w:ilvl w:val="0"/>
          <w:numId w:val="4"/>
        </w:numPr>
        <w:tabs>
          <w:tab w:pos="1292" w:val="left" w:leader="none"/>
        </w:tabs>
        <w:spacing w:line="240" w:lineRule="auto" w:before="0" w:after="0"/>
        <w:ind w:left="1008" w:right="1110" w:firstLine="0"/>
        <w:jc w:val="left"/>
        <w:rPr>
          <w:sz w:val="16"/>
        </w:rPr>
      </w:pPr>
      <w:r>
        <w:rPr>
          <w:sz w:val="16"/>
        </w:rPr>
        <w:t>Figures</w:t>
      </w:r>
      <w:r>
        <w:rPr>
          <w:spacing w:val="-3"/>
          <w:sz w:val="16"/>
        </w:rPr>
        <w:t> </w:t>
      </w:r>
      <w:r>
        <w:rPr>
          <w:sz w:val="16"/>
        </w:rPr>
        <w:t>represent</w:t>
      </w:r>
      <w:r>
        <w:rPr>
          <w:spacing w:val="-2"/>
          <w:sz w:val="16"/>
        </w:rPr>
        <w:t> </w:t>
      </w:r>
      <w:r>
        <w:rPr>
          <w:sz w:val="16"/>
        </w:rPr>
        <w:t>weighted</w:t>
      </w:r>
      <w:r>
        <w:rPr>
          <w:spacing w:val="-2"/>
          <w:sz w:val="16"/>
        </w:rPr>
        <w:t> </w:t>
      </w:r>
      <w:r>
        <w:rPr>
          <w:sz w:val="16"/>
        </w:rPr>
        <w:t>average</w:t>
      </w:r>
      <w:r>
        <w:rPr>
          <w:spacing w:val="-2"/>
          <w:sz w:val="16"/>
        </w:rPr>
        <w:t> </w:t>
      </w:r>
      <w:r>
        <w:rPr>
          <w:sz w:val="16"/>
        </w:rPr>
        <w:t>rental</w:t>
      </w:r>
      <w:r>
        <w:rPr>
          <w:spacing w:val="-2"/>
          <w:sz w:val="16"/>
        </w:rPr>
        <w:t> </w:t>
      </w:r>
      <w:r>
        <w:rPr>
          <w:sz w:val="16"/>
        </w:rPr>
        <w:t>rates</w:t>
      </w:r>
      <w:r>
        <w:rPr>
          <w:spacing w:val="-3"/>
          <w:sz w:val="16"/>
        </w:rPr>
        <w:t> </w:t>
      </w:r>
      <w:r>
        <w:rPr>
          <w:sz w:val="16"/>
        </w:rPr>
        <w:t>and</w:t>
      </w:r>
      <w:r>
        <w:rPr>
          <w:spacing w:val="-2"/>
          <w:sz w:val="16"/>
        </w:rPr>
        <w:t> </w:t>
      </w:r>
      <w:r>
        <w:rPr>
          <w:sz w:val="16"/>
        </w:rPr>
        <w:t>include</w:t>
      </w:r>
      <w:r>
        <w:rPr>
          <w:spacing w:val="-2"/>
          <w:sz w:val="16"/>
        </w:rPr>
        <w:t> </w:t>
      </w:r>
      <w:r>
        <w:rPr>
          <w:sz w:val="16"/>
        </w:rPr>
        <w:t>only</w:t>
      </w:r>
      <w:r>
        <w:rPr>
          <w:spacing w:val="-3"/>
          <w:sz w:val="16"/>
        </w:rPr>
        <w:t> </w:t>
      </w:r>
      <w:r>
        <w:rPr>
          <w:sz w:val="16"/>
        </w:rPr>
        <w:t>those</w:t>
      </w:r>
      <w:r>
        <w:rPr>
          <w:spacing w:val="-7"/>
          <w:sz w:val="16"/>
        </w:rPr>
        <w:t> </w:t>
      </w:r>
      <w:r>
        <w:rPr>
          <w:sz w:val="16"/>
        </w:rPr>
        <w:t>complexes</w:t>
      </w:r>
      <w:r>
        <w:rPr>
          <w:spacing w:val="-3"/>
          <w:sz w:val="16"/>
        </w:rPr>
        <w:t> </w:t>
      </w:r>
      <w:r>
        <w:rPr>
          <w:sz w:val="16"/>
        </w:rPr>
        <w:t>where</w:t>
      </w:r>
      <w:r>
        <w:rPr>
          <w:spacing w:val="-2"/>
          <w:sz w:val="16"/>
        </w:rPr>
        <w:t> </w:t>
      </w:r>
      <w:r>
        <w:rPr>
          <w:sz w:val="16"/>
        </w:rPr>
        <w:t>the</w:t>
      </w:r>
      <w:r>
        <w:rPr>
          <w:spacing w:val="-2"/>
          <w:sz w:val="16"/>
        </w:rPr>
        <w:t> </w:t>
      </w:r>
      <w:r>
        <w:rPr>
          <w:sz w:val="16"/>
        </w:rPr>
        <w:t>respondent</w:t>
      </w:r>
      <w:r>
        <w:rPr>
          <w:spacing w:val="-2"/>
          <w:sz w:val="16"/>
        </w:rPr>
        <w:t> </w:t>
      </w:r>
      <w:r>
        <w:rPr>
          <w:sz w:val="16"/>
        </w:rPr>
        <w:t>identified</w:t>
      </w:r>
      <w:r>
        <w:rPr>
          <w:spacing w:val="-5"/>
          <w:sz w:val="16"/>
        </w:rPr>
        <w:t> </w:t>
      </w:r>
      <w:r>
        <w:rPr>
          <w:sz w:val="16"/>
        </w:rPr>
        <w:t>the number of units by type, the number of beds per unit, and associated rental rates.</w:t>
      </w:r>
    </w:p>
    <w:p>
      <w:pPr>
        <w:pStyle w:val="ListParagraph"/>
        <w:numPr>
          <w:ilvl w:val="0"/>
          <w:numId w:val="4"/>
        </w:numPr>
        <w:tabs>
          <w:tab w:pos="1292" w:val="left" w:leader="none"/>
        </w:tabs>
        <w:spacing w:line="240" w:lineRule="auto" w:before="0" w:after="0"/>
        <w:ind w:left="1008" w:right="1149" w:firstLine="0"/>
        <w:jc w:val="left"/>
        <w:rPr>
          <w:sz w:val="16"/>
        </w:rPr>
      </w:pPr>
      <w:r>
        <w:rPr>
          <w:sz w:val="16"/>
        </w:rPr>
        <w:t>Studio</w:t>
      </w:r>
      <w:r>
        <w:rPr>
          <w:spacing w:val="-3"/>
          <w:sz w:val="16"/>
        </w:rPr>
        <w:t> </w:t>
      </w:r>
      <w:r>
        <w:rPr>
          <w:sz w:val="16"/>
        </w:rPr>
        <w:t>and</w:t>
      </w:r>
      <w:r>
        <w:rPr>
          <w:spacing w:val="-2"/>
          <w:sz w:val="16"/>
        </w:rPr>
        <w:t> </w:t>
      </w:r>
      <w:r>
        <w:rPr>
          <w:sz w:val="16"/>
        </w:rPr>
        <w:t>One-bedroom</w:t>
      </w:r>
      <w:r>
        <w:rPr>
          <w:spacing w:val="-2"/>
          <w:sz w:val="16"/>
        </w:rPr>
        <w:t> </w:t>
      </w:r>
      <w:r>
        <w:rPr>
          <w:sz w:val="16"/>
        </w:rPr>
        <w:t>bed-leased</w:t>
      </w:r>
      <w:r>
        <w:rPr>
          <w:spacing w:val="-3"/>
          <w:sz w:val="16"/>
        </w:rPr>
        <w:t> </w:t>
      </w:r>
      <w:r>
        <w:rPr>
          <w:sz w:val="16"/>
        </w:rPr>
        <w:t>apartments</w:t>
      </w:r>
      <w:r>
        <w:rPr>
          <w:spacing w:val="-4"/>
          <w:sz w:val="16"/>
        </w:rPr>
        <w:t> </w:t>
      </w:r>
      <w:r>
        <w:rPr>
          <w:sz w:val="16"/>
        </w:rPr>
        <w:t>are</w:t>
      </w:r>
      <w:r>
        <w:rPr>
          <w:spacing w:val="-3"/>
          <w:sz w:val="16"/>
        </w:rPr>
        <w:t> </w:t>
      </w:r>
      <w:r>
        <w:rPr>
          <w:sz w:val="16"/>
        </w:rPr>
        <w:t>in</w:t>
      </w:r>
      <w:r>
        <w:rPr>
          <w:spacing w:val="-5"/>
          <w:sz w:val="16"/>
        </w:rPr>
        <w:t> </w:t>
      </w:r>
      <w:r>
        <w:rPr>
          <w:sz w:val="16"/>
        </w:rPr>
        <w:t>complexes</w:t>
      </w:r>
      <w:r>
        <w:rPr>
          <w:spacing w:val="-4"/>
          <w:sz w:val="16"/>
        </w:rPr>
        <w:t> </w:t>
      </w:r>
      <w:r>
        <w:rPr>
          <w:sz w:val="16"/>
        </w:rPr>
        <w:t>that</w:t>
      </w:r>
      <w:r>
        <w:rPr>
          <w:spacing w:val="-2"/>
          <w:sz w:val="16"/>
        </w:rPr>
        <w:t> </w:t>
      </w:r>
      <w:r>
        <w:rPr>
          <w:sz w:val="16"/>
        </w:rPr>
        <w:t>only</w:t>
      </w:r>
      <w:r>
        <w:rPr>
          <w:spacing w:val="-1"/>
          <w:sz w:val="16"/>
        </w:rPr>
        <w:t> </w:t>
      </w:r>
      <w:r>
        <w:rPr>
          <w:sz w:val="16"/>
        </w:rPr>
        <w:t>rent</w:t>
      </w:r>
      <w:r>
        <w:rPr>
          <w:spacing w:val="-2"/>
          <w:sz w:val="16"/>
        </w:rPr>
        <w:t> </w:t>
      </w:r>
      <w:r>
        <w:rPr>
          <w:sz w:val="16"/>
        </w:rPr>
        <w:t>units</w:t>
      </w:r>
      <w:r>
        <w:rPr>
          <w:spacing w:val="-4"/>
          <w:sz w:val="16"/>
        </w:rPr>
        <w:t> </w:t>
      </w:r>
      <w:r>
        <w:rPr>
          <w:sz w:val="16"/>
        </w:rPr>
        <w:t>under</w:t>
      </w:r>
      <w:r>
        <w:rPr>
          <w:spacing w:val="-3"/>
          <w:sz w:val="16"/>
        </w:rPr>
        <w:t> </w:t>
      </w:r>
      <w:r>
        <w:rPr>
          <w:sz w:val="16"/>
        </w:rPr>
        <w:t>bed lease</w:t>
      </w:r>
      <w:r>
        <w:rPr>
          <w:spacing w:val="-3"/>
          <w:sz w:val="16"/>
        </w:rPr>
        <w:t> </w:t>
      </w:r>
      <w:r>
        <w:rPr>
          <w:sz w:val="16"/>
        </w:rPr>
        <w:t>arrangements. These complexes offer a greater set of amenities, compared to the average unit-leased complex, and are priced as such.</w:t>
      </w:r>
    </w:p>
    <w:p>
      <w:pPr>
        <w:pStyle w:val="BodyText"/>
        <w:rPr>
          <w:rFonts w:ascii="Arial MT"/>
          <w:sz w:val="16"/>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2"/>
          <w:sz w:val="16"/>
        </w:rPr>
        <w:t> 2021.</w:t>
      </w:r>
    </w:p>
    <w:p>
      <w:pPr>
        <w:pStyle w:val="BodyText"/>
        <w:spacing w:before="166"/>
        <w:rPr>
          <w:rFonts w:ascii="Arial MT"/>
          <w:sz w:val="16"/>
        </w:rPr>
      </w:pPr>
    </w:p>
    <w:p>
      <w:pPr>
        <w:spacing w:before="0"/>
        <w:ind w:left="1008" w:right="0" w:firstLine="0"/>
        <w:jc w:val="left"/>
        <w:rPr>
          <w:i/>
          <w:sz w:val="22"/>
        </w:rPr>
      </w:pPr>
      <w:r>
        <w:rPr>
          <w:i/>
          <w:sz w:val="22"/>
        </w:rPr>
        <w:t>Blended</w:t>
      </w:r>
      <w:r>
        <w:rPr>
          <w:i/>
          <w:spacing w:val="61"/>
          <w:sz w:val="22"/>
        </w:rPr>
        <w:t> </w:t>
      </w:r>
      <w:r>
        <w:rPr>
          <w:i/>
          <w:sz w:val="22"/>
        </w:rPr>
        <w:t>Rental</w:t>
      </w:r>
      <w:r>
        <w:rPr>
          <w:i/>
          <w:spacing w:val="68"/>
          <w:sz w:val="22"/>
        </w:rPr>
        <w:t> </w:t>
      </w:r>
      <w:r>
        <w:rPr>
          <w:i/>
          <w:spacing w:val="-4"/>
          <w:sz w:val="22"/>
        </w:rPr>
        <w:t>Rate</w:t>
      </w:r>
    </w:p>
    <w:p>
      <w:pPr>
        <w:pStyle w:val="BodyText"/>
        <w:spacing w:line="288" w:lineRule="auto" w:before="51"/>
        <w:ind w:left="1008" w:right="1015"/>
      </w:pPr>
      <w:r>
        <w:rPr/>
        <w:t>To estimate</w:t>
      </w:r>
      <w:r>
        <w:rPr>
          <w:spacing w:val="-2"/>
        </w:rPr>
        <w:t> </w:t>
      </w:r>
      <w:r>
        <w:rPr/>
        <w:t>the</w:t>
      </w:r>
      <w:r>
        <w:rPr>
          <w:spacing w:val="-2"/>
        </w:rPr>
        <w:t> </w:t>
      </w:r>
      <w:r>
        <w:rPr/>
        <w:t>average</w:t>
      </w:r>
      <w:r>
        <w:rPr>
          <w:spacing w:val="-1"/>
        </w:rPr>
        <w:t> </w:t>
      </w:r>
      <w:r>
        <w:rPr/>
        <w:t>citywide rental rate</w:t>
      </w:r>
      <w:r>
        <w:rPr>
          <w:spacing w:val="-2"/>
        </w:rPr>
        <w:t> </w:t>
      </w:r>
      <w:r>
        <w:rPr/>
        <w:t>for all</w:t>
      </w:r>
      <w:r>
        <w:rPr>
          <w:spacing w:val="-3"/>
        </w:rPr>
        <w:t> </w:t>
      </w:r>
      <w:r>
        <w:rPr/>
        <w:t>units, regardless of lease type, BAE combined the rental rates</w:t>
      </w:r>
      <w:r>
        <w:rPr>
          <w:spacing w:val="-1"/>
        </w:rPr>
        <w:t> </w:t>
      </w:r>
      <w:r>
        <w:rPr/>
        <w:t>for unit leases</w:t>
      </w:r>
      <w:r>
        <w:rPr>
          <w:spacing w:val="-1"/>
        </w:rPr>
        <w:t> </w:t>
      </w:r>
      <w:r>
        <w:rPr/>
        <w:t>and calculated the</w:t>
      </w:r>
      <w:r>
        <w:rPr>
          <w:spacing w:val="-1"/>
        </w:rPr>
        <w:t> </w:t>
      </w:r>
      <w:r>
        <w:rPr/>
        <w:t>unit equivalent rental rate for units rented under bed lease arrangements.</w:t>
      </w:r>
      <w:r>
        <w:rPr>
          <w:position w:val="5"/>
          <w:sz w:val="14"/>
        </w:rPr>
        <w:t>7</w:t>
      </w:r>
      <w:r>
        <w:rPr>
          <w:spacing w:val="80"/>
          <w:position w:val="5"/>
          <w:sz w:val="14"/>
        </w:rPr>
        <w:t> </w:t>
      </w:r>
      <w:r>
        <w:rPr/>
        <w:t>As reported in Table 6, the unit equivalent bed lease</w:t>
      </w:r>
      <w:r>
        <w:rPr>
          <w:spacing w:val="-1"/>
        </w:rPr>
        <w:t> </w:t>
      </w:r>
      <w:r>
        <w:rPr/>
        <w:t>rental rates are generally higher than the</w:t>
      </w:r>
      <w:r>
        <w:rPr>
          <w:spacing w:val="-1"/>
        </w:rPr>
        <w:t> </w:t>
      </w:r>
      <w:r>
        <w:rPr/>
        <w:t>average unit lease rents (e.g.,</w:t>
      </w:r>
      <w:r>
        <w:rPr>
          <w:spacing w:val="-2"/>
        </w:rPr>
        <w:t> </w:t>
      </w:r>
      <w:r>
        <w:rPr/>
        <w:t>ranging from three to 45</w:t>
      </w:r>
      <w:r>
        <w:rPr>
          <w:spacing w:val="-1"/>
        </w:rPr>
        <w:t> </w:t>
      </w:r>
      <w:r>
        <w:rPr/>
        <w:t>percent higher depending on the unit type).</w:t>
      </w:r>
      <w:r>
        <w:rPr>
          <w:spacing w:val="40"/>
        </w:rPr>
        <w:t> </w:t>
      </w:r>
      <w:r>
        <w:rPr/>
        <w:t>Across all unit types, the average rental rate is $2,420.</w:t>
      </w:r>
      <w:r>
        <w:rPr>
          <w:spacing w:val="40"/>
        </w:rPr>
        <w:t> </w:t>
      </w:r>
      <w:r>
        <w:rPr/>
        <w:t>This represents a 10.9 percent increase over the 2020 blended</w:t>
      </w:r>
      <w:r>
        <w:rPr/>
        <w:t> average rental rate of $2,183 per month.</w:t>
      </w:r>
      <w:r>
        <w:rPr>
          <w:spacing w:val="40"/>
        </w:rPr>
        <w:t> </w:t>
      </w:r>
      <w:r>
        <w:rPr/>
        <w:t>This blended rental rate increase significantly exceeds</w:t>
      </w:r>
      <w:r>
        <w:rPr>
          <w:spacing w:val="-1"/>
        </w:rPr>
        <w:t> </w:t>
      </w:r>
      <w:r>
        <w:rPr/>
        <w:t>the</w:t>
      </w:r>
      <w:r>
        <w:rPr>
          <w:spacing w:val="-1"/>
        </w:rPr>
        <w:t> </w:t>
      </w:r>
      <w:r>
        <w:rPr/>
        <w:t>3.1</w:t>
      </w:r>
      <w:r>
        <w:rPr>
          <w:spacing w:val="-1"/>
        </w:rPr>
        <w:t> </w:t>
      </w:r>
      <w:r>
        <w:rPr/>
        <w:t>percent</w:t>
      </w:r>
      <w:r>
        <w:rPr>
          <w:spacing w:val="-1"/>
        </w:rPr>
        <w:t> </w:t>
      </w:r>
      <w:r>
        <w:rPr/>
        <w:t>increase observed</w:t>
      </w:r>
      <w:r>
        <w:rPr>
          <w:spacing w:val="-1"/>
        </w:rPr>
        <w:t> </w:t>
      </w:r>
      <w:r>
        <w:rPr/>
        <w:t>between</w:t>
      </w:r>
      <w:r>
        <w:rPr>
          <w:spacing w:val="-1"/>
        </w:rPr>
        <w:t> </w:t>
      </w:r>
      <w:r>
        <w:rPr/>
        <w:t>2019</w:t>
      </w:r>
      <w:r>
        <w:rPr>
          <w:spacing w:val="-3"/>
        </w:rPr>
        <w:t> </w:t>
      </w:r>
      <w:r>
        <w:rPr/>
        <w:t>and</w:t>
      </w:r>
      <w:r>
        <w:rPr>
          <w:spacing w:val="-1"/>
        </w:rPr>
        <w:t> </w:t>
      </w:r>
      <w:r>
        <w:rPr/>
        <w:t>2020,</w:t>
      </w:r>
      <w:r>
        <w:rPr>
          <w:spacing w:val="-2"/>
        </w:rPr>
        <w:t> </w:t>
      </w:r>
      <w:r>
        <w:rPr/>
        <w:t>as</w:t>
      </w:r>
      <w:r>
        <w:rPr>
          <w:spacing w:val="-1"/>
        </w:rPr>
        <w:t> </w:t>
      </w:r>
      <w:r>
        <w:rPr/>
        <w:t>well</w:t>
      </w:r>
      <w:r>
        <w:rPr>
          <w:spacing w:val="-1"/>
        </w:rPr>
        <w:t> </w:t>
      </w:r>
      <w:r>
        <w:rPr/>
        <w:t>as</w:t>
      </w:r>
      <w:r>
        <w:rPr>
          <w:spacing w:val="-1"/>
        </w:rPr>
        <w:t> </w:t>
      </w:r>
      <w:r>
        <w:rPr/>
        <w:t>the historical average, which typically ranges</w:t>
      </w:r>
      <w:r>
        <w:rPr>
          <w:spacing w:val="-2"/>
        </w:rPr>
        <w:t> </w:t>
      </w:r>
      <w:r>
        <w:rPr/>
        <w:t>from</w:t>
      </w:r>
      <w:r>
        <w:rPr>
          <w:spacing w:val="-2"/>
        </w:rPr>
        <w:t> </w:t>
      </w:r>
      <w:r>
        <w:rPr/>
        <w:t>five to</w:t>
      </w:r>
      <w:r>
        <w:rPr>
          <w:spacing w:val="-3"/>
        </w:rPr>
        <w:t> </w:t>
      </w:r>
      <w:r>
        <w:rPr/>
        <w:t>seven percent.</w:t>
      </w:r>
      <w:r>
        <w:rPr>
          <w:spacing w:val="40"/>
        </w:rPr>
        <w:t> </w:t>
      </w:r>
      <w:r>
        <w:rPr/>
        <w:t>The primary reason</w:t>
      </w:r>
      <w:r>
        <w:rPr>
          <w:spacing w:val="-2"/>
        </w:rPr>
        <w:t> </w:t>
      </w:r>
      <w:r>
        <w:rPr/>
        <w:t>for the increase</w:t>
      </w:r>
      <w:r>
        <w:rPr>
          <w:spacing w:val="-12"/>
        </w:rPr>
        <w:t> </w:t>
      </w:r>
      <w:r>
        <w:rPr/>
        <w:t>is</w:t>
      </w:r>
      <w:r>
        <w:rPr>
          <w:spacing w:val="-13"/>
        </w:rPr>
        <w:t> </w:t>
      </w:r>
      <w:r>
        <w:rPr/>
        <w:t>the</w:t>
      </w:r>
      <w:r>
        <w:rPr>
          <w:spacing w:val="-12"/>
        </w:rPr>
        <w:t> </w:t>
      </w:r>
      <w:r>
        <w:rPr/>
        <w:t>growing</w:t>
      </w:r>
      <w:r>
        <w:rPr>
          <w:spacing w:val="-12"/>
        </w:rPr>
        <w:t> </w:t>
      </w:r>
      <w:r>
        <w:rPr/>
        <w:t>number</w:t>
      </w:r>
      <w:r>
        <w:rPr>
          <w:spacing w:val="-12"/>
        </w:rPr>
        <w:t> </w:t>
      </w:r>
      <w:r>
        <w:rPr/>
        <w:t>of</w:t>
      </w:r>
      <w:r>
        <w:rPr>
          <w:spacing w:val="-11"/>
        </w:rPr>
        <w:t> </w:t>
      </w:r>
      <w:r>
        <w:rPr/>
        <w:t>larger</w:t>
      </w:r>
      <w:r>
        <w:rPr>
          <w:spacing w:val="-12"/>
        </w:rPr>
        <w:t> </w:t>
      </w:r>
      <w:r>
        <w:rPr/>
        <w:t>bed-leased</w:t>
      </w:r>
      <w:r>
        <w:rPr>
          <w:spacing w:val="-14"/>
        </w:rPr>
        <w:t> </w:t>
      </w:r>
      <w:r>
        <w:rPr/>
        <w:t>units</w:t>
      </w:r>
      <w:r>
        <w:rPr>
          <w:spacing w:val="-11"/>
        </w:rPr>
        <w:t> </w:t>
      </w:r>
      <w:r>
        <w:rPr/>
        <w:t>present</w:t>
      </w:r>
      <w:r>
        <w:rPr>
          <w:spacing w:val="-12"/>
        </w:rPr>
        <w:t> </w:t>
      </w:r>
      <w:r>
        <w:rPr/>
        <w:t>in</w:t>
      </w:r>
      <w:r>
        <w:rPr>
          <w:spacing w:val="-12"/>
        </w:rPr>
        <w:t> </w:t>
      </w:r>
      <w:r>
        <w:rPr/>
        <w:t>the</w:t>
      </w:r>
      <w:r>
        <w:rPr>
          <w:spacing w:val="-12"/>
        </w:rPr>
        <w:t> </w:t>
      </w:r>
      <w:r>
        <w:rPr/>
        <w:t>market,</w:t>
      </w:r>
      <w:r>
        <w:rPr>
          <w:spacing w:val="-12"/>
        </w:rPr>
        <w:t> </w:t>
      </w:r>
      <w:r>
        <w:rPr/>
        <w:t>which</w:t>
      </w:r>
      <w:r>
        <w:rPr>
          <w:spacing w:val="-12"/>
        </w:rPr>
        <w:t> </w:t>
      </w:r>
      <w:r>
        <w:rPr/>
        <w:t>bring</w:t>
      </w:r>
      <w:r>
        <w:rPr>
          <w:spacing w:val="-12"/>
        </w:rPr>
        <w:t> </w:t>
      </w:r>
      <w:r>
        <w:rPr/>
        <w:t>in more rent per</w:t>
      </w:r>
      <w:r>
        <w:rPr>
          <w:spacing w:val="-4"/>
        </w:rPr>
        <w:t> </w:t>
      </w:r>
      <w:r>
        <w:rPr/>
        <w:t>unit compared to</w:t>
      </w:r>
      <w:r>
        <w:rPr>
          <w:spacing w:val="-2"/>
        </w:rPr>
        <w:t> </w:t>
      </w:r>
      <w:r>
        <w:rPr/>
        <w:t>unit-leased apartments.</w:t>
      </w:r>
      <w:r>
        <w:rPr>
          <w:spacing w:val="40"/>
        </w:rPr>
        <w:t> </w:t>
      </w:r>
      <w:r>
        <w:rPr/>
        <w:t>In</w:t>
      </w:r>
      <w:r>
        <w:rPr>
          <w:spacing w:val="-2"/>
        </w:rPr>
        <w:t> </w:t>
      </w:r>
      <w:r>
        <w:rPr/>
        <w:t>addition, although</w:t>
      </w:r>
      <w:r>
        <w:rPr>
          <w:spacing w:val="-2"/>
        </w:rPr>
        <w:t> </w:t>
      </w:r>
      <w:r>
        <w:rPr/>
        <w:t>the increase in the blended rental rate between 2020 and 2021 is well above historical increases, when averaged with the 3.1 percent increase experienced between 2019 and 2020, the average annual increase over these two years is comparable to historical annual averages.</w:t>
      </w:r>
      <w:r>
        <w:rPr>
          <w:spacing w:val="40"/>
        </w:rPr>
        <w:t> </w:t>
      </w:r>
      <w:r>
        <w:rPr/>
        <w:t>This suggests that properties</w:t>
      </w:r>
      <w:r>
        <w:rPr>
          <w:spacing w:val="-1"/>
        </w:rPr>
        <w:t> </w:t>
      </w:r>
      <w:r>
        <w:rPr/>
        <w:t>may have increased rents</w:t>
      </w:r>
      <w:r>
        <w:rPr>
          <w:spacing w:val="-1"/>
        </w:rPr>
        <w:t> </w:t>
      </w:r>
      <w:r>
        <w:rPr/>
        <w:t>in 2021</w:t>
      </w:r>
      <w:r>
        <w:rPr>
          <w:spacing w:val="-2"/>
        </w:rPr>
        <w:t> </w:t>
      </w:r>
      <w:r>
        <w:rPr/>
        <w:t>at a</w:t>
      </w:r>
      <w:r>
        <w:rPr>
          <w:spacing w:val="-1"/>
        </w:rPr>
        <w:t> </w:t>
      </w:r>
      <w:r>
        <w:rPr/>
        <w:t>higher rate in</w:t>
      </w:r>
      <w:r>
        <w:rPr>
          <w:spacing w:val="-1"/>
        </w:rPr>
        <w:t> </w:t>
      </w:r>
      <w:r>
        <w:rPr/>
        <w:t>order to</w:t>
      </w:r>
      <w:r>
        <w:rPr>
          <w:spacing w:val="-1"/>
        </w:rPr>
        <w:t> </w:t>
      </w:r>
      <w:r>
        <w:rPr/>
        <w:t>make up for a lower increase in the prior year.</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
        <w:rPr>
          <w:sz w:val="20"/>
        </w:rPr>
      </w:pPr>
      <w:r>
        <w:rPr>
          <w:sz w:val="20"/>
        </w:rPr>
        <mc:AlternateContent>
          <mc:Choice Requires="wps">
            <w:drawing>
              <wp:anchor distT="0" distB="0" distL="0" distR="0" allowOverlap="1" layoutInCell="1" locked="0" behindDoc="1" simplePos="0" relativeHeight="487595008">
                <wp:simplePos x="0" y="0"/>
                <wp:positionH relativeFrom="page">
                  <wp:posOffset>1097584</wp:posOffset>
                </wp:positionH>
                <wp:positionV relativeFrom="paragraph">
                  <wp:posOffset>172406</wp:posOffset>
                </wp:positionV>
                <wp:extent cx="1829435" cy="762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24004pt;margin-top:13.575326pt;width:144.020pt;height:.60004pt;mso-position-horizontal-relative:page;mso-position-vertical-relative:paragraph;z-index:-15721472;mso-wrap-distance-left:0;mso-wrap-distance-right:0" id="docshape66" filled="true" fillcolor="#000000" stroked="false">
                <v:fill type="solid"/>
                <w10:wrap type="topAndBottom"/>
              </v:rect>
            </w:pict>
          </mc:Fallback>
        </mc:AlternateContent>
      </w:r>
    </w:p>
    <w:p>
      <w:pPr>
        <w:pStyle w:val="BodyText"/>
        <w:rPr>
          <w:sz w:val="20"/>
        </w:rPr>
      </w:pPr>
    </w:p>
    <w:p>
      <w:pPr>
        <w:pStyle w:val="BodyText"/>
        <w:spacing w:before="13"/>
        <w:rPr>
          <w:sz w:val="20"/>
        </w:rPr>
      </w:pPr>
    </w:p>
    <w:p>
      <w:pPr>
        <w:spacing w:line="316" w:lineRule="auto" w:before="0"/>
        <w:ind w:left="1008" w:right="1001" w:firstLine="0"/>
        <w:jc w:val="left"/>
        <w:rPr>
          <w:sz w:val="20"/>
        </w:rPr>
      </w:pPr>
      <w:r>
        <w:rPr>
          <w:position w:val="5"/>
          <w:sz w:val="13"/>
        </w:rPr>
        <w:t>7</w:t>
      </w:r>
      <w:r>
        <w:rPr>
          <w:spacing w:val="19"/>
          <w:position w:val="5"/>
          <w:sz w:val="13"/>
        </w:rPr>
        <w:t> </w:t>
      </w:r>
      <w:r>
        <w:rPr>
          <w:sz w:val="20"/>
        </w:rPr>
        <w:t>To calculate the “blended” rental rate, BAE calculated a “unit lease equivalent” for</w:t>
      </w:r>
      <w:r>
        <w:rPr>
          <w:spacing w:val="-1"/>
          <w:sz w:val="20"/>
        </w:rPr>
        <w:t> </w:t>
      </w:r>
      <w:r>
        <w:rPr>
          <w:sz w:val="20"/>
        </w:rPr>
        <w:t>bed-leased units. This</w:t>
      </w:r>
      <w:r>
        <w:rPr>
          <w:spacing w:val="-9"/>
          <w:sz w:val="20"/>
        </w:rPr>
        <w:t> </w:t>
      </w:r>
      <w:r>
        <w:rPr>
          <w:sz w:val="20"/>
        </w:rPr>
        <w:t>is</w:t>
      </w:r>
      <w:r>
        <w:rPr>
          <w:spacing w:val="-9"/>
          <w:sz w:val="20"/>
        </w:rPr>
        <w:t> </w:t>
      </w:r>
      <w:r>
        <w:rPr>
          <w:sz w:val="20"/>
        </w:rPr>
        <w:t>equal</w:t>
      </w:r>
      <w:r>
        <w:rPr>
          <w:spacing w:val="-10"/>
          <w:sz w:val="20"/>
        </w:rPr>
        <w:t> </w:t>
      </w:r>
      <w:r>
        <w:rPr>
          <w:sz w:val="20"/>
        </w:rPr>
        <w:t>to</w:t>
      </w:r>
      <w:r>
        <w:rPr>
          <w:spacing w:val="-11"/>
          <w:sz w:val="20"/>
        </w:rPr>
        <w:t> </w:t>
      </w:r>
      <w:r>
        <w:rPr>
          <w:sz w:val="20"/>
        </w:rPr>
        <w:t>the</w:t>
      </w:r>
      <w:r>
        <w:rPr>
          <w:spacing w:val="-11"/>
          <w:sz w:val="20"/>
        </w:rPr>
        <w:t> </w:t>
      </w:r>
      <w:r>
        <w:rPr>
          <w:sz w:val="20"/>
        </w:rPr>
        <w:t>weighted</w:t>
      </w:r>
      <w:r>
        <w:rPr>
          <w:spacing w:val="-9"/>
          <w:sz w:val="20"/>
        </w:rPr>
        <w:t> </w:t>
      </w:r>
      <w:r>
        <w:rPr>
          <w:sz w:val="20"/>
        </w:rPr>
        <w:t>average</w:t>
      </w:r>
      <w:r>
        <w:rPr>
          <w:spacing w:val="-11"/>
          <w:sz w:val="20"/>
        </w:rPr>
        <w:t> </w:t>
      </w:r>
      <w:r>
        <w:rPr>
          <w:sz w:val="20"/>
        </w:rPr>
        <w:t>bed</w:t>
      </w:r>
      <w:r>
        <w:rPr>
          <w:spacing w:val="-10"/>
          <w:sz w:val="20"/>
        </w:rPr>
        <w:t> </w:t>
      </w:r>
      <w:r>
        <w:rPr>
          <w:sz w:val="20"/>
        </w:rPr>
        <w:t>lease</w:t>
      </w:r>
      <w:r>
        <w:rPr>
          <w:spacing w:val="-11"/>
          <w:sz w:val="20"/>
        </w:rPr>
        <w:t> </w:t>
      </w:r>
      <w:r>
        <w:rPr>
          <w:sz w:val="20"/>
        </w:rPr>
        <w:t>rate</w:t>
      </w:r>
      <w:r>
        <w:rPr>
          <w:spacing w:val="-11"/>
          <w:sz w:val="20"/>
        </w:rPr>
        <w:t> </w:t>
      </w:r>
      <w:r>
        <w:rPr>
          <w:sz w:val="20"/>
        </w:rPr>
        <w:t>multiplied</w:t>
      </w:r>
      <w:r>
        <w:rPr>
          <w:spacing w:val="-10"/>
          <w:sz w:val="20"/>
        </w:rPr>
        <w:t> </w:t>
      </w:r>
      <w:r>
        <w:rPr>
          <w:sz w:val="20"/>
        </w:rPr>
        <w:t>by</w:t>
      </w:r>
      <w:r>
        <w:rPr>
          <w:spacing w:val="-11"/>
          <w:sz w:val="20"/>
        </w:rPr>
        <w:t> </w:t>
      </w:r>
      <w:r>
        <w:rPr>
          <w:sz w:val="20"/>
        </w:rPr>
        <w:t>average</w:t>
      </w:r>
      <w:r>
        <w:rPr>
          <w:spacing w:val="-11"/>
          <w:sz w:val="20"/>
        </w:rPr>
        <w:t> </w:t>
      </w:r>
      <w:r>
        <w:rPr>
          <w:sz w:val="20"/>
        </w:rPr>
        <w:t>the</w:t>
      </w:r>
      <w:r>
        <w:rPr>
          <w:spacing w:val="-11"/>
          <w:sz w:val="20"/>
        </w:rPr>
        <w:t> </w:t>
      </w:r>
      <w:r>
        <w:rPr>
          <w:sz w:val="20"/>
        </w:rPr>
        <w:t>number</w:t>
      </w:r>
      <w:r>
        <w:rPr>
          <w:spacing w:val="-9"/>
          <w:sz w:val="20"/>
        </w:rPr>
        <w:t> </w:t>
      </w:r>
      <w:r>
        <w:rPr>
          <w:sz w:val="20"/>
        </w:rPr>
        <w:t>of</w:t>
      </w:r>
      <w:r>
        <w:rPr>
          <w:spacing w:val="-11"/>
          <w:sz w:val="20"/>
        </w:rPr>
        <w:t> </w:t>
      </w:r>
      <w:r>
        <w:rPr>
          <w:sz w:val="20"/>
        </w:rPr>
        <w:t>beds</w:t>
      </w:r>
      <w:r>
        <w:rPr>
          <w:spacing w:val="-9"/>
          <w:sz w:val="20"/>
        </w:rPr>
        <w:t> </w:t>
      </w:r>
      <w:r>
        <w:rPr>
          <w:sz w:val="20"/>
        </w:rPr>
        <w:t>per</w:t>
      </w:r>
      <w:r>
        <w:rPr>
          <w:spacing w:val="-12"/>
          <w:sz w:val="20"/>
        </w:rPr>
        <w:t> </w:t>
      </w:r>
      <w:r>
        <w:rPr>
          <w:sz w:val="20"/>
        </w:rPr>
        <w:t>unit, by</w:t>
      </w:r>
      <w:r>
        <w:rPr>
          <w:spacing w:val="-1"/>
          <w:sz w:val="20"/>
        </w:rPr>
        <w:t> </w:t>
      </w:r>
      <w:r>
        <w:rPr>
          <w:sz w:val="20"/>
        </w:rPr>
        <w:t>unit type.</w:t>
      </w:r>
      <w:r>
        <w:rPr>
          <w:spacing w:val="40"/>
          <w:sz w:val="20"/>
        </w:rPr>
        <w:t> </w:t>
      </w:r>
      <w:r>
        <w:rPr>
          <w:sz w:val="20"/>
        </w:rPr>
        <w:t>This value</w:t>
      </w:r>
      <w:r>
        <w:rPr>
          <w:spacing w:val="-1"/>
          <w:sz w:val="20"/>
        </w:rPr>
        <w:t> </w:t>
      </w:r>
      <w:r>
        <w:rPr>
          <w:sz w:val="20"/>
        </w:rPr>
        <w:t>was then</w:t>
      </w:r>
      <w:r>
        <w:rPr>
          <w:spacing w:val="-1"/>
          <w:sz w:val="20"/>
        </w:rPr>
        <w:t> </w:t>
      </w:r>
      <w:r>
        <w:rPr>
          <w:sz w:val="20"/>
        </w:rPr>
        <w:t>used to</w:t>
      </w:r>
      <w:r>
        <w:rPr>
          <w:spacing w:val="-1"/>
          <w:sz w:val="20"/>
        </w:rPr>
        <w:t> </w:t>
      </w:r>
      <w:r>
        <w:rPr>
          <w:sz w:val="20"/>
        </w:rPr>
        <w:t>calculate</w:t>
      </w:r>
      <w:r>
        <w:rPr>
          <w:spacing w:val="-1"/>
          <w:sz w:val="20"/>
        </w:rPr>
        <w:t> </w:t>
      </w:r>
      <w:r>
        <w:rPr>
          <w:sz w:val="20"/>
        </w:rPr>
        <w:t>a weighted average</w:t>
      </w:r>
      <w:r>
        <w:rPr>
          <w:spacing w:val="-1"/>
          <w:sz w:val="20"/>
        </w:rPr>
        <w:t> </w:t>
      </w:r>
      <w:r>
        <w:rPr>
          <w:sz w:val="20"/>
        </w:rPr>
        <w:t>rental rate</w:t>
      </w:r>
      <w:r>
        <w:rPr>
          <w:spacing w:val="-1"/>
          <w:sz w:val="20"/>
        </w:rPr>
        <w:t> </w:t>
      </w:r>
      <w:r>
        <w:rPr>
          <w:sz w:val="20"/>
        </w:rPr>
        <w:t>for all</w:t>
      </w:r>
      <w:r>
        <w:rPr>
          <w:spacing w:val="-1"/>
          <w:sz w:val="20"/>
        </w:rPr>
        <w:t> </w:t>
      </w:r>
      <w:r>
        <w:rPr>
          <w:sz w:val="20"/>
        </w:rPr>
        <w:t>units.</w:t>
      </w:r>
    </w:p>
    <w:p>
      <w:pPr>
        <w:spacing w:after="0" w:line="316" w:lineRule="auto"/>
        <w:jc w:val="left"/>
        <w:rPr>
          <w:sz w:val="20"/>
        </w:rPr>
        <w:sectPr>
          <w:pgSz w:w="12240" w:h="15840"/>
          <w:pgMar w:header="0" w:footer="502" w:top="1700" w:bottom="700" w:left="720" w:right="720"/>
        </w:sectPr>
      </w:pPr>
    </w:p>
    <w:p>
      <w:pPr>
        <w:tabs>
          <w:tab w:pos="9791" w:val="left" w:leader="none"/>
        </w:tabs>
        <w:spacing w:before="78"/>
        <w:ind w:left="1008" w:right="0" w:firstLine="0"/>
        <w:jc w:val="left"/>
        <w:rPr>
          <w:i/>
          <w:sz w:val="22"/>
        </w:rPr>
      </w:pPr>
      <w:r>
        <w:rPr>
          <w:i/>
          <w:sz w:val="22"/>
          <w:u w:val="single"/>
        </w:rPr>
        <w:t>Table</w:t>
      </w:r>
      <w:r>
        <w:rPr>
          <w:i/>
          <w:spacing w:val="-5"/>
          <w:sz w:val="22"/>
          <w:u w:val="single"/>
        </w:rPr>
        <w:t> </w:t>
      </w:r>
      <w:r>
        <w:rPr>
          <w:i/>
          <w:sz w:val="22"/>
          <w:u w:val="single"/>
        </w:rPr>
        <w:t>6:</w:t>
      </w:r>
      <w:r>
        <w:rPr>
          <w:i/>
          <w:spacing w:val="46"/>
          <w:sz w:val="22"/>
          <w:u w:val="single"/>
        </w:rPr>
        <w:t> </w:t>
      </w:r>
      <w:r>
        <w:rPr>
          <w:i/>
          <w:sz w:val="22"/>
          <w:u w:val="single"/>
        </w:rPr>
        <w:t>Blended</w:t>
      </w:r>
      <w:r>
        <w:rPr>
          <w:i/>
          <w:spacing w:val="-7"/>
          <w:sz w:val="22"/>
          <w:u w:val="single"/>
        </w:rPr>
        <w:t> </w:t>
      </w:r>
      <w:r>
        <w:rPr>
          <w:i/>
          <w:sz w:val="22"/>
          <w:u w:val="single"/>
        </w:rPr>
        <w:t>Rental</w:t>
      </w:r>
      <w:r>
        <w:rPr>
          <w:i/>
          <w:spacing w:val="-7"/>
          <w:sz w:val="22"/>
          <w:u w:val="single"/>
        </w:rPr>
        <w:t> </w:t>
      </w:r>
      <w:r>
        <w:rPr>
          <w:i/>
          <w:sz w:val="22"/>
          <w:u w:val="single"/>
        </w:rPr>
        <w:t>Rate</w:t>
      </w:r>
      <w:r>
        <w:rPr>
          <w:i/>
          <w:spacing w:val="-4"/>
          <w:sz w:val="22"/>
          <w:u w:val="single"/>
        </w:rPr>
        <w:t> </w:t>
      </w:r>
      <w:r>
        <w:rPr>
          <w:i/>
          <w:spacing w:val="-2"/>
          <w:sz w:val="22"/>
          <w:u w:val="single"/>
        </w:rPr>
        <w:t>Summary</w:t>
      </w:r>
      <w:r>
        <w:rPr>
          <w:i/>
          <w:sz w:val="22"/>
          <w:u w:val="single"/>
        </w:rPr>
        <w:tab/>
      </w:r>
    </w:p>
    <w:p>
      <w:pPr>
        <w:pStyle w:val="BodyText"/>
        <w:spacing w:before="70"/>
        <w:rPr>
          <w:i/>
          <w:sz w:val="16"/>
        </w:rPr>
      </w:pPr>
    </w:p>
    <w:p>
      <w:pPr>
        <w:spacing w:before="0" w:after="19"/>
        <w:ind w:left="3148" w:right="0" w:firstLine="0"/>
        <w:jc w:val="left"/>
        <w:rPr>
          <w:rFonts w:ascii="Arial"/>
          <w:b/>
          <w:sz w:val="16"/>
        </w:rPr>
      </w:pPr>
      <w:r>
        <w:rPr>
          <w:rFonts w:ascii="Arial"/>
          <w:b/>
          <w:sz w:val="16"/>
        </w:rPr>
        <w:t>2021</w:t>
      </w:r>
      <w:r>
        <w:rPr>
          <w:rFonts w:ascii="Arial"/>
          <w:b/>
          <w:spacing w:val="9"/>
          <w:sz w:val="16"/>
        </w:rPr>
        <w:t> </w:t>
      </w:r>
      <w:r>
        <w:rPr>
          <w:rFonts w:ascii="Arial"/>
          <w:b/>
          <w:sz w:val="16"/>
        </w:rPr>
        <w:t>Survey</w:t>
      </w:r>
      <w:r>
        <w:rPr>
          <w:rFonts w:ascii="Arial"/>
          <w:b/>
          <w:spacing w:val="9"/>
          <w:sz w:val="16"/>
        </w:rPr>
        <w:t> </w:t>
      </w:r>
      <w:r>
        <w:rPr>
          <w:rFonts w:ascii="Arial"/>
          <w:b/>
          <w:spacing w:val="-2"/>
          <w:sz w:val="16"/>
        </w:rPr>
        <w:t>Results</w:t>
      </w:r>
    </w:p>
    <w:tbl>
      <w:tblPr>
        <w:tblW w:w="0" w:type="auto"/>
        <w:jc w:val="left"/>
        <w:tblInd w:w="1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72"/>
        <w:gridCol w:w="133"/>
        <w:gridCol w:w="609"/>
        <w:gridCol w:w="163"/>
        <w:gridCol w:w="817"/>
        <w:gridCol w:w="163"/>
        <w:gridCol w:w="951"/>
        <w:gridCol w:w="164"/>
        <w:gridCol w:w="1278"/>
        <w:gridCol w:w="208"/>
        <w:gridCol w:w="1278"/>
      </w:tblGrid>
      <w:tr>
        <w:trPr>
          <w:trHeight w:val="431" w:hRule="atLeast"/>
        </w:trPr>
        <w:tc>
          <w:tcPr>
            <w:tcW w:w="1472" w:type="dxa"/>
            <w:tcBorders>
              <w:bottom w:val="single" w:sz="6" w:space="0" w:color="000000"/>
            </w:tcBorders>
          </w:tcPr>
          <w:p>
            <w:pPr>
              <w:pStyle w:val="TableParagraph"/>
              <w:spacing w:before="52"/>
              <w:rPr>
                <w:rFonts w:ascii="Arial"/>
                <w:b/>
                <w:sz w:val="16"/>
              </w:rPr>
            </w:pPr>
          </w:p>
          <w:p>
            <w:pPr>
              <w:pStyle w:val="TableParagraph"/>
              <w:spacing w:line="175" w:lineRule="exact"/>
              <w:ind w:left="44"/>
              <w:rPr>
                <w:rFonts w:ascii="Arial"/>
                <w:b/>
                <w:sz w:val="16"/>
              </w:rPr>
            </w:pPr>
            <w:r>
              <w:rPr>
                <w:rFonts w:ascii="Arial"/>
                <w:b/>
                <w:sz w:val="16"/>
              </w:rPr>
              <w:t>Unit</w:t>
            </w:r>
            <w:r>
              <w:rPr>
                <w:rFonts w:ascii="Arial"/>
                <w:b/>
                <w:spacing w:val="-4"/>
                <w:sz w:val="16"/>
              </w:rPr>
              <w:t> Size</w:t>
            </w:r>
          </w:p>
        </w:tc>
        <w:tc>
          <w:tcPr>
            <w:tcW w:w="133" w:type="dxa"/>
          </w:tcPr>
          <w:p>
            <w:pPr>
              <w:pStyle w:val="TableParagraph"/>
              <w:rPr>
                <w:rFonts w:ascii="Times New Roman"/>
                <w:sz w:val="20"/>
              </w:rPr>
            </w:pPr>
          </w:p>
        </w:tc>
        <w:tc>
          <w:tcPr>
            <w:tcW w:w="609" w:type="dxa"/>
            <w:tcBorders>
              <w:top w:val="single" w:sz="6" w:space="0" w:color="000000"/>
              <w:bottom w:val="single" w:sz="6" w:space="0" w:color="000000"/>
            </w:tcBorders>
          </w:tcPr>
          <w:p>
            <w:pPr>
              <w:pStyle w:val="TableParagraph"/>
              <w:spacing w:before="13"/>
              <w:ind w:left="178"/>
              <w:rPr>
                <w:sz w:val="16"/>
              </w:rPr>
            </w:pPr>
            <w:r>
              <w:rPr>
                <w:spacing w:val="-4"/>
                <w:sz w:val="16"/>
              </w:rPr>
              <w:t>Unit</w:t>
            </w:r>
          </w:p>
          <w:p>
            <w:pPr>
              <w:pStyle w:val="TableParagraph"/>
              <w:spacing w:line="175" w:lineRule="exact" w:before="39"/>
              <w:ind w:left="89"/>
              <w:rPr>
                <w:sz w:val="16"/>
              </w:rPr>
            </w:pPr>
            <w:r>
              <w:rPr>
                <w:spacing w:val="-2"/>
                <w:sz w:val="16"/>
              </w:rPr>
              <w:t>Lease</w:t>
            </w:r>
          </w:p>
        </w:tc>
        <w:tc>
          <w:tcPr>
            <w:tcW w:w="163" w:type="dxa"/>
            <w:tcBorders>
              <w:top w:val="single" w:sz="6" w:space="0" w:color="000000"/>
            </w:tcBorders>
          </w:tcPr>
          <w:p>
            <w:pPr>
              <w:pStyle w:val="TableParagraph"/>
              <w:rPr>
                <w:rFonts w:ascii="Times New Roman"/>
                <w:sz w:val="20"/>
              </w:rPr>
            </w:pPr>
          </w:p>
        </w:tc>
        <w:tc>
          <w:tcPr>
            <w:tcW w:w="817" w:type="dxa"/>
            <w:tcBorders>
              <w:top w:val="single" w:sz="6" w:space="0" w:color="000000"/>
              <w:bottom w:val="single" w:sz="6" w:space="0" w:color="000000"/>
            </w:tcBorders>
          </w:tcPr>
          <w:p>
            <w:pPr>
              <w:pStyle w:val="TableParagraph"/>
              <w:spacing w:before="13"/>
              <w:ind w:left="6" w:right="2"/>
              <w:jc w:val="center"/>
              <w:rPr>
                <w:sz w:val="16"/>
              </w:rPr>
            </w:pPr>
            <w:r>
              <w:rPr>
                <w:spacing w:val="-5"/>
                <w:sz w:val="16"/>
              </w:rPr>
              <w:t>Bed</w:t>
            </w:r>
          </w:p>
          <w:p>
            <w:pPr>
              <w:pStyle w:val="TableParagraph"/>
              <w:spacing w:line="175" w:lineRule="exact" w:before="39"/>
              <w:ind w:left="4" w:right="6"/>
              <w:jc w:val="center"/>
              <w:rPr>
                <w:sz w:val="16"/>
              </w:rPr>
            </w:pPr>
            <w:r>
              <w:rPr>
                <w:sz w:val="16"/>
              </w:rPr>
              <w:t>Lease</w:t>
            </w:r>
            <w:r>
              <w:rPr>
                <w:spacing w:val="2"/>
                <w:sz w:val="16"/>
              </w:rPr>
              <w:t> </w:t>
            </w:r>
            <w:r>
              <w:rPr>
                <w:spacing w:val="-5"/>
                <w:sz w:val="16"/>
              </w:rPr>
              <w:t>(a)</w:t>
            </w:r>
          </w:p>
        </w:tc>
        <w:tc>
          <w:tcPr>
            <w:tcW w:w="163" w:type="dxa"/>
            <w:tcBorders>
              <w:top w:val="single" w:sz="6" w:space="0" w:color="000000"/>
            </w:tcBorders>
          </w:tcPr>
          <w:p>
            <w:pPr>
              <w:pStyle w:val="TableParagraph"/>
              <w:rPr>
                <w:rFonts w:ascii="Times New Roman"/>
                <w:sz w:val="20"/>
              </w:rPr>
            </w:pPr>
          </w:p>
        </w:tc>
        <w:tc>
          <w:tcPr>
            <w:tcW w:w="951" w:type="dxa"/>
            <w:tcBorders>
              <w:top w:val="single" w:sz="6" w:space="0" w:color="000000"/>
              <w:bottom w:val="single" w:sz="6" w:space="0" w:color="000000"/>
            </w:tcBorders>
          </w:tcPr>
          <w:p>
            <w:pPr>
              <w:pStyle w:val="TableParagraph"/>
              <w:spacing w:before="52"/>
              <w:rPr>
                <w:rFonts w:ascii="Arial"/>
                <w:b/>
                <w:sz w:val="16"/>
              </w:rPr>
            </w:pPr>
          </w:p>
          <w:p>
            <w:pPr>
              <w:pStyle w:val="TableParagraph"/>
              <w:spacing w:line="175" w:lineRule="exact"/>
              <w:ind w:right="62"/>
              <w:jc w:val="right"/>
              <w:rPr>
                <w:sz w:val="16"/>
              </w:rPr>
            </w:pPr>
            <w:r>
              <w:rPr>
                <w:spacing w:val="-2"/>
                <w:sz w:val="16"/>
              </w:rPr>
              <w:t>Blended</w:t>
            </w:r>
            <w:r>
              <w:rPr>
                <w:spacing w:val="-3"/>
                <w:sz w:val="16"/>
              </w:rPr>
              <w:t> </w:t>
            </w:r>
            <w:r>
              <w:rPr>
                <w:spacing w:val="-5"/>
                <w:sz w:val="16"/>
              </w:rPr>
              <w:t>(b)</w:t>
            </w:r>
          </w:p>
        </w:tc>
        <w:tc>
          <w:tcPr>
            <w:tcW w:w="164" w:type="dxa"/>
          </w:tcPr>
          <w:p>
            <w:pPr>
              <w:pStyle w:val="TableParagraph"/>
              <w:rPr>
                <w:rFonts w:ascii="Times New Roman"/>
                <w:sz w:val="20"/>
              </w:rPr>
            </w:pPr>
          </w:p>
        </w:tc>
        <w:tc>
          <w:tcPr>
            <w:tcW w:w="1278" w:type="dxa"/>
            <w:tcBorders>
              <w:bottom w:val="single" w:sz="6" w:space="0" w:color="000000"/>
            </w:tcBorders>
          </w:tcPr>
          <w:p>
            <w:pPr>
              <w:pStyle w:val="TableParagraph"/>
              <w:spacing w:before="13"/>
              <w:ind w:left="105"/>
              <w:rPr>
                <w:rFonts w:ascii="Arial"/>
                <w:b/>
                <w:sz w:val="16"/>
              </w:rPr>
            </w:pPr>
            <w:r>
              <w:rPr>
                <w:rFonts w:ascii="Arial"/>
                <w:b/>
                <w:sz w:val="16"/>
              </w:rPr>
              <w:t>2020</w:t>
            </w:r>
            <w:r>
              <w:rPr>
                <w:rFonts w:ascii="Arial"/>
                <w:b/>
                <w:spacing w:val="-5"/>
                <w:sz w:val="16"/>
              </w:rPr>
              <w:t> </w:t>
            </w:r>
            <w:r>
              <w:rPr>
                <w:rFonts w:ascii="Arial"/>
                <w:b/>
                <w:spacing w:val="-2"/>
                <w:sz w:val="16"/>
              </w:rPr>
              <w:t>Blended</w:t>
            </w:r>
          </w:p>
          <w:p>
            <w:pPr>
              <w:pStyle w:val="TableParagraph"/>
              <w:spacing w:line="175" w:lineRule="exact" w:before="39"/>
              <w:ind w:left="60"/>
              <w:rPr>
                <w:sz w:val="16"/>
              </w:rPr>
            </w:pPr>
            <w:r>
              <w:rPr>
                <w:rFonts w:ascii="Arial"/>
                <w:b/>
                <w:sz w:val="16"/>
              </w:rPr>
              <w:t>Rental</w:t>
            </w:r>
            <w:r>
              <w:rPr>
                <w:rFonts w:ascii="Arial"/>
                <w:b/>
                <w:spacing w:val="-1"/>
                <w:sz w:val="16"/>
              </w:rPr>
              <w:t> </w:t>
            </w:r>
            <w:r>
              <w:rPr>
                <w:rFonts w:ascii="Arial"/>
                <w:b/>
                <w:sz w:val="16"/>
              </w:rPr>
              <w:t>Rate</w:t>
            </w:r>
            <w:r>
              <w:rPr>
                <w:rFonts w:ascii="Arial"/>
                <w:b/>
                <w:spacing w:val="16"/>
                <w:sz w:val="16"/>
              </w:rPr>
              <w:t> </w:t>
            </w:r>
            <w:r>
              <w:rPr>
                <w:spacing w:val="-5"/>
                <w:sz w:val="16"/>
              </w:rPr>
              <w:t>(b)</w:t>
            </w:r>
          </w:p>
        </w:tc>
        <w:tc>
          <w:tcPr>
            <w:tcW w:w="208" w:type="dxa"/>
          </w:tcPr>
          <w:p>
            <w:pPr>
              <w:pStyle w:val="TableParagraph"/>
              <w:rPr>
                <w:rFonts w:ascii="Times New Roman"/>
                <w:sz w:val="20"/>
              </w:rPr>
            </w:pPr>
          </w:p>
        </w:tc>
        <w:tc>
          <w:tcPr>
            <w:tcW w:w="1278" w:type="dxa"/>
            <w:tcBorders>
              <w:bottom w:val="single" w:sz="6" w:space="0" w:color="000000"/>
            </w:tcBorders>
          </w:tcPr>
          <w:p>
            <w:pPr>
              <w:pStyle w:val="TableParagraph"/>
              <w:spacing w:before="13"/>
              <w:ind w:left="105"/>
              <w:rPr>
                <w:rFonts w:ascii="Arial"/>
                <w:b/>
                <w:sz w:val="16"/>
              </w:rPr>
            </w:pPr>
            <w:r>
              <w:rPr>
                <w:rFonts w:ascii="Arial"/>
                <w:b/>
                <w:sz w:val="16"/>
              </w:rPr>
              <w:t>2019</w:t>
            </w:r>
            <w:r>
              <w:rPr>
                <w:rFonts w:ascii="Arial"/>
                <w:b/>
                <w:spacing w:val="-5"/>
                <w:sz w:val="16"/>
              </w:rPr>
              <w:t> </w:t>
            </w:r>
            <w:r>
              <w:rPr>
                <w:rFonts w:ascii="Arial"/>
                <w:b/>
                <w:spacing w:val="-2"/>
                <w:sz w:val="16"/>
              </w:rPr>
              <w:t>Blended</w:t>
            </w:r>
          </w:p>
          <w:p>
            <w:pPr>
              <w:pStyle w:val="TableParagraph"/>
              <w:spacing w:line="175" w:lineRule="exact" w:before="39"/>
              <w:ind w:left="61"/>
              <w:rPr>
                <w:sz w:val="16"/>
              </w:rPr>
            </w:pPr>
            <w:r>
              <w:rPr>
                <w:rFonts w:ascii="Arial"/>
                <w:b/>
                <w:sz w:val="16"/>
              </w:rPr>
              <w:t>Rental</w:t>
            </w:r>
            <w:r>
              <w:rPr>
                <w:rFonts w:ascii="Arial"/>
                <w:b/>
                <w:spacing w:val="-1"/>
                <w:sz w:val="16"/>
              </w:rPr>
              <w:t> </w:t>
            </w:r>
            <w:r>
              <w:rPr>
                <w:rFonts w:ascii="Arial"/>
                <w:b/>
                <w:sz w:val="16"/>
              </w:rPr>
              <w:t>Rate</w:t>
            </w:r>
            <w:r>
              <w:rPr>
                <w:rFonts w:ascii="Arial"/>
                <w:b/>
                <w:spacing w:val="16"/>
                <w:sz w:val="16"/>
              </w:rPr>
              <w:t> </w:t>
            </w:r>
            <w:r>
              <w:rPr>
                <w:spacing w:val="-5"/>
                <w:sz w:val="16"/>
              </w:rPr>
              <w:t>(b)</w:t>
            </w:r>
          </w:p>
        </w:tc>
      </w:tr>
      <w:tr>
        <w:trPr>
          <w:trHeight w:val="218" w:hRule="atLeast"/>
        </w:trPr>
        <w:tc>
          <w:tcPr>
            <w:tcW w:w="1472" w:type="dxa"/>
            <w:tcBorders>
              <w:top w:val="single" w:sz="6" w:space="0" w:color="000000"/>
            </w:tcBorders>
          </w:tcPr>
          <w:p>
            <w:pPr>
              <w:pStyle w:val="TableParagraph"/>
              <w:spacing w:before="13"/>
              <w:ind w:left="44"/>
              <w:rPr>
                <w:sz w:val="16"/>
              </w:rPr>
            </w:pPr>
            <w:r>
              <w:rPr>
                <w:sz w:val="16"/>
              </w:rPr>
              <w:t>Studio</w:t>
            </w:r>
            <w:r>
              <w:rPr>
                <w:spacing w:val="-6"/>
                <w:sz w:val="16"/>
              </w:rPr>
              <w:t> </w:t>
            </w:r>
            <w:r>
              <w:rPr>
                <w:sz w:val="16"/>
              </w:rPr>
              <w:t>&amp;</w:t>
            </w:r>
            <w:r>
              <w:rPr>
                <w:spacing w:val="-9"/>
                <w:sz w:val="16"/>
              </w:rPr>
              <w:t> </w:t>
            </w:r>
            <w:r>
              <w:rPr>
                <w:sz w:val="16"/>
              </w:rPr>
              <w:t>1</w:t>
            </w:r>
            <w:r>
              <w:rPr>
                <w:spacing w:val="-6"/>
                <w:sz w:val="16"/>
              </w:rPr>
              <w:t> </w:t>
            </w:r>
            <w:r>
              <w:rPr>
                <w:spacing w:val="-2"/>
                <w:sz w:val="16"/>
              </w:rPr>
              <w:t>Bedroom</w:t>
            </w:r>
          </w:p>
        </w:tc>
        <w:tc>
          <w:tcPr>
            <w:tcW w:w="133" w:type="dxa"/>
          </w:tcPr>
          <w:p>
            <w:pPr>
              <w:pStyle w:val="TableParagraph"/>
              <w:rPr>
                <w:rFonts w:ascii="Times New Roman"/>
                <w:sz w:val="14"/>
              </w:rPr>
            </w:pPr>
          </w:p>
        </w:tc>
        <w:tc>
          <w:tcPr>
            <w:tcW w:w="609" w:type="dxa"/>
            <w:tcBorders>
              <w:top w:val="single" w:sz="6" w:space="0" w:color="000000"/>
            </w:tcBorders>
          </w:tcPr>
          <w:p>
            <w:pPr>
              <w:pStyle w:val="TableParagraph"/>
              <w:spacing w:before="13"/>
              <w:ind w:left="32"/>
              <w:jc w:val="center"/>
              <w:rPr>
                <w:sz w:val="16"/>
              </w:rPr>
            </w:pPr>
            <w:r>
              <w:rPr>
                <w:spacing w:val="-2"/>
                <w:sz w:val="16"/>
              </w:rPr>
              <w:t>$1,578</w:t>
            </w:r>
          </w:p>
        </w:tc>
        <w:tc>
          <w:tcPr>
            <w:tcW w:w="163" w:type="dxa"/>
          </w:tcPr>
          <w:p>
            <w:pPr>
              <w:pStyle w:val="TableParagraph"/>
              <w:rPr>
                <w:rFonts w:ascii="Times New Roman"/>
                <w:sz w:val="14"/>
              </w:rPr>
            </w:pPr>
          </w:p>
        </w:tc>
        <w:tc>
          <w:tcPr>
            <w:tcW w:w="817" w:type="dxa"/>
            <w:tcBorders>
              <w:top w:val="single" w:sz="6" w:space="0" w:color="000000"/>
            </w:tcBorders>
          </w:tcPr>
          <w:p>
            <w:pPr>
              <w:pStyle w:val="TableParagraph"/>
              <w:spacing w:before="13"/>
              <w:ind w:right="39"/>
              <w:jc w:val="right"/>
              <w:rPr>
                <w:sz w:val="16"/>
              </w:rPr>
            </w:pPr>
            <w:r>
              <w:rPr>
                <w:spacing w:val="-2"/>
                <w:sz w:val="16"/>
              </w:rPr>
              <w:t>$1,629</w:t>
            </w:r>
          </w:p>
        </w:tc>
        <w:tc>
          <w:tcPr>
            <w:tcW w:w="163" w:type="dxa"/>
          </w:tcPr>
          <w:p>
            <w:pPr>
              <w:pStyle w:val="TableParagraph"/>
              <w:rPr>
                <w:rFonts w:ascii="Times New Roman"/>
                <w:sz w:val="14"/>
              </w:rPr>
            </w:pPr>
          </w:p>
        </w:tc>
        <w:tc>
          <w:tcPr>
            <w:tcW w:w="951" w:type="dxa"/>
            <w:tcBorders>
              <w:top w:val="single" w:sz="6" w:space="0" w:color="000000"/>
            </w:tcBorders>
          </w:tcPr>
          <w:p>
            <w:pPr>
              <w:pStyle w:val="TableParagraph"/>
              <w:spacing w:before="13"/>
              <w:ind w:right="38"/>
              <w:jc w:val="right"/>
              <w:rPr>
                <w:sz w:val="16"/>
              </w:rPr>
            </w:pPr>
            <w:r>
              <w:rPr>
                <w:spacing w:val="-2"/>
                <w:sz w:val="16"/>
              </w:rPr>
              <w:t>$1,589</w:t>
            </w:r>
          </w:p>
        </w:tc>
        <w:tc>
          <w:tcPr>
            <w:tcW w:w="164" w:type="dxa"/>
          </w:tcPr>
          <w:p>
            <w:pPr>
              <w:pStyle w:val="TableParagraph"/>
              <w:rPr>
                <w:rFonts w:ascii="Times New Roman"/>
                <w:sz w:val="14"/>
              </w:rPr>
            </w:pPr>
          </w:p>
        </w:tc>
        <w:tc>
          <w:tcPr>
            <w:tcW w:w="1278" w:type="dxa"/>
            <w:tcBorders>
              <w:top w:val="single" w:sz="6" w:space="0" w:color="000000"/>
            </w:tcBorders>
          </w:tcPr>
          <w:p>
            <w:pPr>
              <w:pStyle w:val="TableParagraph"/>
              <w:spacing w:before="13"/>
              <w:ind w:right="39"/>
              <w:jc w:val="right"/>
              <w:rPr>
                <w:sz w:val="16"/>
              </w:rPr>
            </w:pPr>
            <w:r>
              <w:rPr>
                <w:spacing w:val="-2"/>
                <w:sz w:val="16"/>
              </w:rPr>
              <w:t>$1,499</w:t>
            </w:r>
          </w:p>
        </w:tc>
        <w:tc>
          <w:tcPr>
            <w:tcW w:w="208" w:type="dxa"/>
          </w:tcPr>
          <w:p>
            <w:pPr>
              <w:pStyle w:val="TableParagraph"/>
              <w:rPr>
                <w:rFonts w:ascii="Times New Roman"/>
                <w:sz w:val="14"/>
              </w:rPr>
            </w:pPr>
          </w:p>
        </w:tc>
        <w:tc>
          <w:tcPr>
            <w:tcW w:w="1278" w:type="dxa"/>
            <w:tcBorders>
              <w:top w:val="single" w:sz="6" w:space="0" w:color="000000"/>
            </w:tcBorders>
          </w:tcPr>
          <w:p>
            <w:pPr>
              <w:pStyle w:val="TableParagraph"/>
              <w:spacing w:before="13"/>
              <w:ind w:right="39"/>
              <w:jc w:val="right"/>
              <w:rPr>
                <w:sz w:val="16"/>
              </w:rPr>
            </w:pPr>
            <w:r>
              <w:rPr>
                <w:spacing w:val="-2"/>
                <w:sz w:val="16"/>
              </w:rPr>
              <w:t>$1,435</w:t>
            </w:r>
          </w:p>
        </w:tc>
      </w:tr>
      <w:tr>
        <w:trPr>
          <w:trHeight w:val="223" w:hRule="atLeast"/>
        </w:trPr>
        <w:tc>
          <w:tcPr>
            <w:tcW w:w="1472" w:type="dxa"/>
          </w:tcPr>
          <w:p>
            <w:pPr>
              <w:pStyle w:val="TableParagraph"/>
              <w:spacing w:before="18"/>
              <w:ind w:left="44"/>
              <w:rPr>
                <w:sz w:val="16"/>
              </w:rPr>
            </w:pPr>
            <w:r>
              <w:rPr>
                <w:sz w:val="16"/>
              </w:rPr>
              <w:t>2</w:t>
            </w:r>
            <w:r>
              <w:rPr>
                <w:spacing w:val="-2"/>
                <w:sz w:val="16"/>
              </w:rPr>
              <w:t> Bedroom</w:t>
            </w:r>
          </w:p>
        </w:tc>
        <w:tc>
          <w:tcPr>
            <w:tcW w:w="133" w:type="dxa"/>
          </w:tcPr>
          <w:p>
            <w:pPr>
              <w:pStyle w:val="TableParagraph"/>
              <w:rPr>
                <w:rFonts w:ascii="Times New Roman"/>
                <w:sz w:val="14"/>
              </w:rPr>
            </w:pPr>
          </w:p>
        </w:tc>
        <w:tc>
          <w:tcPr>
            <w:tcW w:w="609" w:type="dxa"/>
          </w:tcPr>
          <w:p>
            <w:pPr>
              <w:pStyle w:val="TableParagraph"/>
              <w:spacing w:before="18"/>
              <w:ind w:left="32"/>
              <w:jc w:val="center"/>
              <w:rPr>
                <w:sz w:val="16"/>
              </w:rPr>
            </w:pPr>
            <w:r>
              <w:rPr>
                <w:spacing w:val="-2"/>
                <w:sz w:val="16"/>
              </w:rPr>
              <w:t>$2,038</w:t>
            </w:r>
          </w:p>
        </w:tc>
        <w:tc>
          <w:tcPr>
            <w:tcW w:w="163" w:type="dxa"/>
          </w:tcPr>
          <w:p>
            <w:pPr>
              <w:pStyle w:val="TableParagraph"/>
              <w:rPr>
                <w:rFonts w:ascii="Times New Roman"/>
                <w:sz w:val="14"/>
              </w:rPr>
            </w:pPr>
          </w:p>
        </w:tc>
        <w:tc>
          <w:tcPr>
            <w:tcW w:w="817" w:type="dxa"/>
          </w:tcPr>
          <w:p>
            <w:pPr>
              <w:pStyle w:val="TableParagraph"/>
              <w:spacing w:before="18"/>
              <w:ind w:right="39"/>
              <w:jc w:val="right"/>
              <w:rPr>
                <w:sz w:val="16"/>
              </w:rPr>
            </w:pPr>
            <w:r>
              <w:rPr>
                <w:spacing w:val="-2"/>
                <w:sz w:val="16"/>
              </w:rPr>
              <w:t>$2,553</w:t>
            </w:r>
          </w:p>
        </w:tc>
        <w:tc>
          <w:tcPr>
            <w:tcW w:w="163" w:type="dxa"/>
          </w:tcPr>
          <w:p>
            <w:pPr>
              <w:pStyle w:val="TableParagraph"/>
              <w:rPr>
                <w:rFonts w:ascii="Times New Roman"/>
                <w:sz w:val="14"/>
              </w:rPr>
            </w:pPr>
          </w:p>
        </w:tc>
        <w:tc>
          <w:tcPr>
            <w:tcW w:w="951" w:type="dxa"/>
          </w:tcPr>
          <w:p>
            <w:pPr>
              <w:pStyle w:val="TableParagraph"/>
              <w:spacing w:before="18"/>
              <w:ind w:right="38"/>
              <w:jc w:val="right"/>
              <w:rPr>
                <w:sz w:val="16"/>
              </w:rPr>
            </w:pPr>
            <w:r>
              <w:rPr>
                <w:spacing w:val="-2"/>
                <w:sz w:val="16"/>
              </w:rPr>
              <w:t>$2,142</w:t>
            </w:r>
          </w:p>
        </w:tc>
        <w:tc>
          <w:tcPr>
            <w:tcW w:w="164" w:type="dxa"/>
          </w:tcPr>
          <w:p>
            <w:pPr>
              <w:pStyle w:val="TableParagraph"/>
              <w:rPr>
                <w:rFonts w:ascii="Times New Roman"/>
                <w:sz w:val="14"/>
              </w:rPr>
            </w:pPr>
          </w:p>
        </w:tc>
        <w:tc>
          <w:tcPr>
            <w:tcW w:w="1278" w:type="dxa"/>
          </w:tcPr>
          <w:p>
            <w:pPr>
              <w:pStyle w:val="TableParagraph"/>
              <w:spacing w:before="18"/>
              <w:ind w:right="39"/>
              <w:jc w:val="right"/>
              <w:rPr>
                <w:sz w:val="16"/>
              </w:rPr>
            </w:pPr>
            <w:r>
              <w:rPr>
                <w:spacing w:val="-2"/>
                <w:sz w:val="16"/>
              </w:rPr>
              <w:t>$2,027</w:t>
            </w:r>
          </w:p>
        </w:tc>
        <w:tc>
          <w:tcPr>
            <w:tcW w:w="208" w:type="dxa"/>
          </w:tcPr>
          <w:p>
            <w:pPr>
              <w:pStyle w:val="TableParagraph"/>
              <w:rPr>
                <w:rFonts w:ascii="Times New Roman"/>
                <w:sz w:val="14"/>
              </w:rPr>
            </w:pPr>
          </w:p>
        </w:tc>
        <w:tc>
          <w:tcPr>
            <w:tcW w:w="1278" w:type="dxa"/>
          </w:tcPr>
          <w:p>
            <w:pPr>
              <w:pStyle w:val="TableParagraph"/>
              <w:spacing w:before="18"/>
              <w:ind w:right="39"/>
              <w:jc w:val="right"/>
              <w:rPr>
                <w:sz w:val="16"/>
              </w:rPr>
            </w:pPr>
            <w:r>
              <w:rPr>
                <w:spacing w:val="-2"/>
                <w:sz w:val="16"/>
              </w:rPr>
              <w:t>$1,929</w:t>
            </w:r>
          </w:p>
        </w:tc>
      </w:tr>
      <w:tr>
        <w:trPr>
          <w:trHeight w:val="223" w:hRule="atLeast"/>
        </w:trPr>
        <w:tc>
          <w:tcPr>
            <w:tcW w:w="1472" w:type="dxa"/>
          </w:tcPr>
          <w:p>
            <w:pPr>
              <w:pStyle w:val="TableParagraph"/>
              <w:spacing w:before="18"/>
              <w:ind w:left="44"/>
              <w:rPr>
                <w:sz w:val="16"/>
              </w:rPr>
            </w:pPr>
            <w:r>
              <w:rPr>
                <w:sz w:val="16"/>
              </w:rPr>
              <w:t>3</w:t>
            </w:r>
            <w:r>
              <w:rPr>
                <w:spacing w:val="-2"/>
                <w:sz w:val="16"/>
              </w:rPr>
              <w:t> Bedroom</w:t>
            </w:r>
          </w:p>
        </w:tc>
        <w:tc>
          <w:tcPr>
            <w:tcW w:w="133" w:type="dxa"/>
          </w:tcPr>
          <w:p>
            <w:pPr>
              <w:pStyle w:val="TableParagraph"/>
              <w:rPr>
                <w:rFonts w:ascii="Times New Roman"/>
                <w:sz w:val="14"/>
              </w:rPr>
            </w:pPr>
          </w:p>
        </w:tc>
        <w:tc>
          <w:tcPr>
            <w:tcW w:w="609" w:type="dxa"/>
          </w:tcPr>
          <w:p>
            <w:pPr>
              <w:pStyle w:val="TableParagraph"/>
              <w:spacing w:before="18"/>
              <w:ind w:left="32"/>
              <w:jc w:val="center"/>
              <w:rPr>
                <w:sz w:val="16"/>
              </w:rPr>
            </w:pPr>
            <w:r>
              <w:rPr>
                <w:spacing w:val="-2"/>
                <w:sz w:val="16"/>
              </w:rPr>
              <w:t>$2,702</w:t>
            </w:r>
          </w:p>
        </w:tc>
        <w:tc>
          <w:tcPr>
            <w:tcW w:w="163" w:type="dxa"/>
          </w:tcPr>
          <w:p>
            <w:pPr>
              <w:pStyle w:val="TableParagraph"/>
              <w:rPr>
                <w:rFonts w:ascii="Times New Roman"/>
                <w:sz w:val="14"/>
              </w:rPr>
            </w:pPr>
          </w:p>
        </w:tc>
        <w:tc>
          <w:tcPr>
            <w:tcW w:w="817" w:type="dxa"/>
          </w:tcPr>
          <w:p>
            <w:pPr>
              <w:pStyle w:val="TableParagraph"/>
              <w:spacing w:before="18"/>
              <w:ind w:right="39"/>
              <w:jc w:val="right"/>
              <w:rPr>
                <w:sz w:val="16"/>
              </w:rPr>
            </w:pPr>
            <w:r>
              <w:rPr>
                <w:spacing w:val="-2"/>
                <w:sz w:val="16"/>
              </w:rPr>
              <w:t>$3,708</w:t>
            </w:r>
          </w:p>
        </w:tc>
        <w:tc>
          <w:tcPr>
            <w:tcW w:w="163" w:type="dxa"/>
          </w:tcPr>
          <w:p>
            <w:pPr>
              <w:pStyle w:val="TableParagraph"/>
              <w:rPr>
                <w:rFonts w:ascii="Times New Roman"/>
                <w:sz w:val="14"/>
              </w:rPr>
            </w:pPr>
          </w:p>
        </w:tc>
        <w:tc>
          <w:tcPr>
            <w:tcW w:w="951" w:type="dxa"/>
          </w:tcPr>
          <w:p>
            <w:pPr>
              <w:pStyle w:val="TableParagraph"/>
              <w:spacing w:before="18"/>
              <w:ind w:right="38"/>
              <w:jc w:val="right"/>
              <w:rPr>
                <w:sz w:val="16"/>
              </w:rPr>
            </w:pPr>
            <w:r>
              <w:rPr>
                <w:spacing w:val="-2"/>
                <w:sz w:val="16"/>
              </w:rPr>
              <w:t>$2,970</w:t>
            </w:r>
          </w:p>
        </w:tc>
        <w:tc>
          <w:tcPr>
            <w:tcW w:w="164" w:type="dxa"/>
          </w:tcPr>
          <w:p>
            <w:pPr>
              <w:pStyle w:val="TableParagraph"/>
              <w:rPr>
                <w:rFonts w:ascii="Times New Roman"/>
                <w:sz w:val="14"/>
              </w:rPr>
            </w:pPr>
          </w:p>
        </w:tc>
        <w:tc>
          <w:tcPr>
            <w:tcW w:w="1278" w:type="dxa"/>
          </w:tcPr>
          <w:p>
            <w:pPr>
              <w:pStyle w:val="TableParagraph"/>
              <w:spacing w:before="18"/>
              <w:ind w:right="39"/>
              <w:jc w:val="right"/>
              <w:rPr>
                <w:sz w:val="16"/>
              </w:rPr>
            </w:pPr>
            <w:r>
              <w:rPr>
                <w:spacing w:val="-2"/>
                <w:sz w:val="16"/>
              </w:rPr>
              <w:t>$2,746</w:t>
            </w:r>
          </w:p>
        </w:tc>
        <w:tc>
          <w:tcPr>
            <w:tcW w:w="208" w:type="dxa"/>
          </w:tcPr>
          <w:p>
            <w:pPr>
              <w:pStyle w:val="TableParagraph"/>
              <w:rPr>
                <w:rFonts w:ascii="Times New Roman"/>
                <w:sz w:val="14"/>
              </w:rPr>
            </w:pPr>
          </w:p>
        </w:tc>
        <w:tc>
          <w:tcPr>
            <w:tcW w:w="1278" w:type="dxa"/>
          </w:tcPr>
          <w:p>
            <w:pPr>
              <w:pStyle w:val="TableParagraph"/>
              <w:spacing w:before="18"/>
              <w:ind w:right="39"/>
              <w:jc w:val="right"/>
              <w:rPr>
                <w:sz w:val="16"/>
              </w:rPr>
            </w:pPr>
            <w:r>
              <w:rPr>
                <w:spacing w:val="-2"/>
                <w:sz w:val="16"/>
              </w:rPr>
              <w:t>$2,731</w:t>
            </w:r>
          </w:p>
        </w:tc>
      </w:tr>
      <w:tr>
        <w:trPr>
          <w:trHeight w:val="213" w:hRule="atLeast"/>
        </w:trPr>
        <w:tc>
          <w:tcPr>
            <w:tcW w:w="1472" w:type="dxa"/>
            <w:tcBorders>
              <w:bottom w:val="single" w:sz="6" w:space="0" w:color="000000"/>
            </w:tcBorders>
          </w:tcPr>
          <w:p>
            <w:pPr>
              <w:pStyle w:val="TableParagraph"/>
              <w:spacing w:line="175" w:lineRule="exact" w:before="18"/>
              <w:ind w:left="44"/>
              <w:rPr>
                <w:sz w:val="16"/>
              </w:rPr>
            </w:pPr>
            <w:r>
              <w:rPr>
                <w:sz w:val="16"/>
              </w:rPr>
              <w:t>4+</w:t>
            </w:r>
            <w:r>
              <w:rPr>
                <w:spacing w:val="-7"/>
                <w:sz w:val="16"/>
              </w:rPr>
              <w:t> </w:t>
            </w:r>
            <w:r>
              <w:rPr>
                <w:spacing w:val="-2"/>
                <w:sz w:val="16"/>
              </w:rPr>
              <w:t>Bedroom</w:t>
            </w:r>
          </w:p>
        </w:tc>
        <w:tc>
          <w:tcPr>
            <w:tcW w:w="133" w:type="dxa"/>
          </w:tcPr>
          <w:p>
            <w:pPr>
              <w:pStyle w:val="TableParagraph"/>
              <w:rPr>
                <w:rFonts w:ascii="Times New Roman"/>
                <w:sz w:val="14"/>
              </w:rPr>
            </w:pPr>
          </w:p>
        </w:tc>
        <w:tc>
          <w:tcPr>
            <w:tcW w:w="609" w:type="dxa"/>
            <w:tcBorders>
              <w:bottom w:val="single" w:sz="6" w:space="0" w:color="000000"/>
            </w:tcBorders>
          </w:tcPr>
          <w:p>
            <w:pPr>
              <w:pStyle w:val="TableParagraph"/>
              <w:spacing w:line="175" w:lineRule="exact" w:before="18"/>
              <w:ind w:left="32"/>
              <w:jc w:val="center"/>
              <w:rPr>
                <w:sz w:val="16"/>
              </w:rPr>
            </w:pPr>
            <w:r>
              <w:rPr>
                <w:spacing w:val="-2"/>
                <w:sz w:val="16"/>
              </w:rPr>
              <w:t>$3,373</w:t>
            </w:r>
          </w:p>
        </w:tc>
        <w:tc>
          <w:tcPr>
            <w:tcW w:w="163" w:type="dxa"/>
          </w:tcPr>
          <w:p>
            <w:pPr>
              <w:pStyle w:val="TableParagraph"/>
              <w:rPr>
                <w:rFonts w:ascii="Times New Roman"/>
                <w:sz w:val="14"/>
              </w:rPr>
            </w:pPr>
          </w:p>
        </w:tc>
        <w:tc>
          <w:tcPr>
            <w:tcW w:w="817" w:type="dxa"/>
            <w:tcBorders>
              <w:bottom w:val="single" w:sz="6" w:space="0" w:color="000000"/>
            </w:tcBorders>
          </w:tcPr>
          <w:p>
            <w:pPr>
              <w:pStyle w:val="TableParagraph"/>
              <w:spacing w:line="175" w:lineRule="exact" w:before="18"/>
              <w:ind w:right="39"/>
              <w:jc w:val="right"/>
              <w:rPr>
                <w:sz w:val="16"/>
              </w:rPr>
            </w:pPr>
            <w:r>
              <w:rPr>
                <w:spacing w:val="-2"/>
                <w:sz w:val="16"/>
              </w:rPr>
              <w:t>$4,860</w:t>
            </w:r>
          </w:p>
        </w:tc>
        <w:tc>
          <w:tcPr>
            <w:tcW w:w="163" w:type="dxa"/>
          </w:tcPr>
          <w:p>
            <w:pPr>
              <w:pStyle w:val="TableParagraph"/>
              <w:rPr>
                <w:rFonts w:ascii="Times New Roman"/>
                <w:sz w:val="14"/>
              </w:rPr>
            </w:pPr>
          </w:p>
        </w:tc>
        <w:tc>
          <w:tcPr>
            <w:tcW w:w="951" w:type="dxa"/>
            <w:tcBorders>
              <w:bottom w:val="single" w:sz="6" w:space="0" w:color="000000"/>
            </w:tcBorders>
          </w:tcPr>
          <w:p>
            <w:pPr>
              <w:pStyle w:val="TableParagraph"/>
              <w:spacing w:line="175" w:lineRule="exact" w:before="18"/>
              <w:ind w:right="38"/>
              <w:jc w:val="right"/>
              <w:rPr>
                <w:sz w:val="16"/>
              </w:rPr>
            </w:pPr>
            <w:r>
              <w:rPr>
                <w:spacing w:val="-2"/>
                <w:sz w:val="16"/>
              </w:rPr>
              <w:t>$4,507</w:t>
            </w:r>
          </w:p>
        </w:tc>
        <w:tc>
          <w:tcPr>
            <w:tcW w:w="164" w:type="dxa"/>
          </w:tcPr>
          <w:p>
            <w:pPr>
              <w:pStyle w:val="TableParagraph"/>
              <w:rPr>
                <w:rFonts w:ascii="Times New Roman"/>
                <w:sz w:val="14"/>
              </w:rPr>
            </w:pPr>
          </w:p>
        </w:tc>
        <w:tc>
          <w:tcPr>
            <w:tcW w:w="1278" w:type="dxa"/>
            <w:tcBorders>
              <w:bottom w:val="single" w:sz="6" w:space="0" w:color="000000"/>
            </w:tcBorders>
          </w:tcPr>
          <w:p>
            <w:pPr>
              <w:pStyle w:val="TableParagraph"/>
              <w:spacing w:line="175" w:lineRule="exact" w:before="18"/>
              <w:ind w:right="39"/>
              <w:jc w:val="right"/>
              <w:rPr>
                <w:sz w:val="16"/>
              </w:rPr>
            </w:pPr>
            <w:r>
              <w:rPr>
                <w:spacing w:val="-2"/>
                <w:sz w:val="16"/>
              </w:rPr>
              <w:t>$3,947</w:t>
            </w:r>
          </w:p>
        </w:tc>
        <w:tc>
          <w:tcPr>
            <w:tcW w:w="208" w:type="dxa"/>
          </w:tcPr>
          <w:p>
            <w:pPr>
              <w:pStyle w:val="TableParagraph"/>
              <w:rPr>
                <w:rFonts w:ascii="Times New Roman"/>
                <w:sz w:val="14"/>
              </w:rPr>
            </w:pPr>
          </w:p>
        </w:tc>
        <w:tc>
          <w:tcPr>
            <w:tcW w:w="1278" w:type="dxa"/>
            <w:tcBorders>
              <w:bottom w:val="single" w:sz="6" w:space="0" w:color="000000"/>
            </w:tcBorders>
          </w:tcPr>
          <w:p>
            <w:pPr>
              <w:pStyle w:val="TableParagraph"/>
              <w:spacing w:line="175" w:lineRule="exact" w:before="18"/>
              <w:ind w:right="39"/>
              <w:jc w:val="right"/>
              <w:rPr>
                <w:sz w:val="16"/>
              </w:rPr>
            </w:pPr>
            <w:r>
              <w:rPr>
                <w:spacing w:val="-2"/>
                <w:sz w:val="16"/>
              </w:rPr>
              <w:t>$3,856</w:t>
            </w:r>
          </w:p>
        </w:tc>
      </w:tr>
      <w:tr>
        <w:trPr>
          <w:trHeight w:val="198" w:hRule="atLeast"/>
        </w:trPr>
        <w:tc>
          <w:tcPr>
            <w:tcW w:w="1472" w:type="dxa"/>
            <w:tcBorders>
              <w:top w:val="single" w:sz="6" w:space="0" w:color="000000"/>
            </w:tcBorders>
          </w:tcPr>
          <w:p>
            <w:pPr>
              <w:pStyle w:val="TableParagraph"/>
              <w:spacing w:line="165" w:lineRule="exact" w:before="13"/>
              <w:ind w:left="44"/>
              <w:rPr>
                <w:rFonts w:ascii="Arial"/>
                <w:b/>
                <w:sz w:val="16"/>
              </w:rPr>
            </w:pPr>
            <w:r>
              <w:rPr>
                <w:rFonts w:ascii="Arial"/>
                <w:b/>
                <w:sz w:val="16"/>
              </w:rPr>
              <w:t>Total,</w:t>
            </w:r>
            <w:r>
              <w:rPr>
                <w:rFonts w:ascii="Arial"/>
                <w:b/>
                <w:spacing w:val="6"/>
                <w:sz w:val="16"/>
              </w:rPr>
              <w:t> </w:t>
            </w:r>
            <w:r>
              <w:rPr>
                <w:rFonts w:ascii="Arial"/>
                <w:b/>
                <w:sz w:val="16"/>
              </w:rPr>
              <w:t>All</w:t>
            </w:r>
            <w:r>
              <w:rPr>
                <w:rFonts w:ascii="Arial"/>
                <w:b/>
                <w:spacing w:val="6"/>
                <w:sz w:val="16"/>
              </w:rPr>
              <w:t> </w:t>
            </w:r>
            <w:r>
              <w:rPr>
                <w:rFonts w:ascii="Arial"/>
                <w:b/>
                <w:spacing w:val="-2"/>
                <w:sz w:val="16"/>
              </w:rPr>
              <w:t>Sizes</w:t>
            </w:r>
          </w:p>
        </w:tc>
        <w:tc>
          <w:tcPr>
            <w:tcW w:w="133" w:type="dxa"/>
          </w:tcPr>
          <w:p>
            <w:pPr>
              <w:pStyle w:val="TableParagraph"/>
              <w:rPr>
                <w:rFonts w:ascii="Times New Roman"/>
                <w:sz w:val="12"/>
              </w:rPr>
            </w:pPr>
          </w:p>
        </w:tc>
        <w:tc>
          <w:tcPr>
            <w:tcW w:w="609" w:type="dxa"/>
            <w:tcBorders>
              <w:top w:val="single" w:sz="6" w:space="0" w:color="000000"/>
            </w:tcBorders>
          </w:tcPr>
          <w:p>
            <w:pPr>
              <w:pStyle w:val="TableParagraph"/>
              <w:spacing w:line="165" w:lineRule="exact" w:before="13"/>
              <w:ind w:left="32"/>
              <w:jc w:val="center"/>
              <w:rPr>
                <w:rFonts w:ascii="Arial"/>
                <w:b/>
                <w:sz w:val="16"/>
              </w:rPr>
            </w:pPr>
            <w:r>
              <w:rPr>
                <w:rFonts w:ascii="Arial"/>
                <w:b/>
                <w:spacing w:val="-2"/>
                <w:sz w:val="16"/>
              </w:rPr>
              <w:t>$2,034</w:t>
            </w:r>
          </w:p>
        </w:tc>
        <w:tc>
          <w:tcPr>
            <w:tcW w:w="163" w:type="dxa"/>
          </w:tcPr>
          <w:p>
            <w:pPr>
              <w:pStyle w:val="TableParagraph"/>
              <w:rPr>
                <w:rFonts w:ascii="Times New Roman"/>
                <w:sz w:val="12"/>
              </w:rPr>
            </w:pPr>
          </w:p>
        </w:tc>
        <w:tc>
          <w:tcPr>
            <w:tcW w:w="817" w:type="dxa"/>
            <w:tcBorders>
              <w:top w:val="single" w:sz="6" w:space="0" w:color="000000"/>
            </w:tcBorders>
          </w:tcPr>
          <w:p>
            <w:pPr>
              <w:pStyle w:val="TableParagraph"/>
              <w:spacing w:line="165" w:lineRule="exact" w:before="13"/>
              <w:ind w:right="39"/>
              <w:jc w:val="right"/>
              <w:rPr>
                <w:rFonts w:ascii="Arial"/>
                <w:b/>
                <w:sz w:val="16"/>
              </w:rPr>
            </w:pPr>
            <w:r>
              <w:rPr>
                <w:rFonts w:ascii="Arial"/>
                <w:b/>
                <w:spacing w:val="-2"/>
                <w:sz w:val="16"/>
              </w:rPr>
              <w:t>$3,324</w:t>
            </w:r>
          </w:p>
        </w:tc>
        <w:tc>
          <w:tcPr>
            <w:tcW w:w="163" w:type="dxa"/>
          </w:tcPr>
          <w:p>
            <w:pPr>
              <w:pStyle w:val="TableParagraph"/>
              <w:rPr>
                <w:rFonts w:ascii="Times New Roman"/>
                <w:sz w:val="12"/>
              </w:rPr>
            </w:pPr>
          </w:p>
        </w:tc>
        <w:tc>
          <w:tcPr>
            <w:tcW w:w="951" w:type="dxa"/>
            <w:tcBorders>
              <w:top w:val="single" w:sz="6" w:space="0" w:color="000000"/>
            </w:tcBorders>
          </w:tcPr>
          <w:p>
            <w:pPr>
              <w:pStyle w:val="TableParagraph"/>
              <w:spacing w:line="165" w:lineRule="exact" w:before="13"/>
              <w:ind w:right="38"/>
              <w:jc w:val="right"/>
              <w:rPr>
                <w:rFonts w:ascii="Arial"/>
                <w:b/>
                <w:sz w:val="16"/>
              </w:rPr>
            </w:pPr>
            <w:r>
              <w:rPr>
                <w:rFonts w:ascii="Arial"/>
                <w:b/>
                <w:spacing w:val="-2"/>
                <w:sz w:val="16"/>
              </w:rPr>
              <w:t>$2,420</w:t>
            </w:r>
          </w:p>
        </w:tc>
        <w:tc>
          <w:tcPr>
            <w:tcW w:w="164" w:type="dxa"/>
          </w:tcPr>
          <w:p>
            <w:pPr>
              <w:pStyle w:val="TableParagraph"/>
              <w:rPr>
                <w:rFonts w:ascii="Times New Roman"/>
                <w:sz w:val="12"/>
              </w:rPr>
            </w:pPr>
          </w:p>
        </w:tc>
        <w:tc>
          <w:tcPr>
            <w:tcW w:w="1278" w:type="dxa"/>
            <w:tcBorders>
              <w:top w:val="single" w:sz="6" w:space="0" w:color="000000"/>
            </w:tcBorders>
          </w:tcPr>
          <w:p>
            <w:pPr>
              <w:pStyle w:val="TableParagraph"/>
              <w:spacing w:line="165" w:lineRule="exact" w:before="13"/>
              <w:ind w:right="39"/>
              <w:jc w:val="right"/>
              <w:rPr>
                <w:rFonts w:ascii="Arial"/>
                <w:b/>
                <w:sz w:val="16"/>
              </w:rPr>
            </w:pPr>
            <w:r>
              <w:rPr>
                <w:rFonts w:ascii="Arial"/>
                <w:b/>
                <w:spacing w:val="-2"/>
                <w:sz w:val="16"/>
              </w:rPr>
              <w:t>$2,183</w:t>
            </w:r>
          </w:p>
        </w:tc>
        <w:tc>
          <w:tcPr>
            <w:tcW w:w="208" w:type="dxa"/>
          </w:tcPr>
          <w:p>
            <w:pPr>
              <w:pStyle w:val="TableParagraph"/>
              <w:rPr>
                <w:rFonts w:ascii="Times New Roman"/>
                <w:sz w:val="12"/>
              </w:rPr>
            </w:pPr>
          </w:p>
        </w:tc>
        <w:tc>
          <w:tcPr>
            <w:tcW w:w="1278" w:type="dxa"/>
            <w:tcBorders>
              <w:top w:val="single" w:sz="6" w:space="0" w:color="000000"/>
            </w:tcBorders>
          </w:tcPr>
          <w:p>
            <w:pPr>
              <w:pStyle w:val="TableParagraph"/>
              <w:spacing w:line="165" w:lineRule="exact" w:before="13"/>
              <w:ind w:right="39"/>
              <w:jc w:val="right"/>
              <w:rPr>
                <w:rFonts w:ascii="Arial"/>
                <w:b/>
                <w:sz w:val="16"/>
              </w:rPr>
            </w:pPr>
            <w:r>
              <w:rPr>
                <w:rFonts w:ascii="Arial"/>
                <w:b/>
                <w:spacing w:val="-2"/>
                <w:sz w:val="16"/>
              </w:rPr>
              <w:t>$2,117</w:t>
            </w:r>
          </w:p>
        </w:tc>
      </w:tr>
    </w:tbl>
    <w:p>
      <w:pPr>
        <w:pStyle w:val="BodyText"/>
        <w:spacing w:before="7"/>
        <w:rPr>
          <w:rFonts w:ascii="Arial"/>
          <w:b/>
          <w:sz w:val="17"/>
        </w:rPr>
      </w:pPr>
      <w:r>
        <w:rPr>
          <w:rFonts w:ascii="Arial"/>
          <w:b/>
          <w:sz w:val="17"/>
        </w:rPr>
        <mc:AlternateContent>
          <mc:Choice Requires="wps">
            <w:drawing>
              <wp:anchor distT="0" distB="0" distL="0" distR="0" allowOverlap="1" layoutInCell="1" locked="0" behindDoc="1" simplePos="0" relativeHeight="487595520">
                <wp:simplePos x="0" y="0"/>
                <wp:positionH relativeFrom="page">
                  <wp:posOffset>1097280</wp:posOffset>
                </wp:positionH>
                <wp:positionV relativeFrom="paragraph">
                  <wp:posOffset>144345</wp:posOffset>
                </wp:positionV>
                <wp:extent cx="5577840" cy="9525"/>
                <wp:effectExtent l="0" t="0" r="0" b="0"/>
                <wp:wrapTopAndBottom/>
                <wp:docPr id="78" name="Group 78"/>
                <wp:cNvGraphicFramePr>
                  <a:graphicFrameLocks/>
                </wp:cNvGraphicFramePr>
                <a:graphic>
                  <a:graphicData uri="http://schemas.microsoft.com/office/word/2010/wordprocessingGroup">
                    <wpg:wgp>
                      <wpg:cNvPr id="78" name="Group 78"/>
                      <wpg:cNvGrpSpPr/>
                      <wpg:grpSpPr>
                        <a:xfrm>
                          <a:off x="0" y="0"/>
                          <a:ext cx="5577840" cy="9525"/>
                          <a:chExt cx="5577840" cy="9525"/>
                        </a:xfrm>
                      </wpg:grpSpPr>
                      <wps:wsp>
                        <wps:cNvPr id="79" name="Graphic 79"/>
                        <wps:cNvSpPr/>
                        <wps:spPr>
                          <a:xfrm>
                            <a:off x="4710" y="0"/>
                            <a:ext cx="5573395" cy="9525"/>
                          </a:xfrm>
                          <a:custGeom>
                            <a:avLst/>
                            <a:gdLst/>
                            <a:ahLst/>
                            <a:cxnLst/>
                            <a:rect l="l" t="t" r="r" b="b"/>
                            <a:pathLst>
                              <a:path w="5573395" h="9525">
                                <a:moveTo>
                                  <a:pt x="5572803" y="0"/>
                                </a:moveTo>
                                <a:lnTo>
                                  <a:pt x="0" y="0"/>
                                </a:lnTo>
                                <a:lnTo>
                                  <a:pt x="0" y="9386"/>
                                </a:lnTo>
                                <a:lnTo>
                                  <a:pt x="5572803" y="9386"/>
                                </a:lnTo>
                                <a:lnTo>
                                  <a:pt x="5572803"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0" y="0"/>
                            <a:ext cx="5577840" cy="9525"/>
                          </a:xfrm>
                          <a:custGeom>
                            <a:avLst/>
                            <a:gdLst/>
                            <a:ahLst/>
                            <a:cxnLst/>
                            <a:rect l="l" t="t" r="r" b="b"/>
                            <a:pathLst>
                              <a:path w="5577840" h="9525">
                                <a:moveTo>
                                  <a:pt x="5577514" y="0"/>
                                </a:moveTo>
                                <a:lnTo>
                                  <a:pt x="0" y="0"/>
                                </a:lnTo>
                                <a:lnTo>
                                  <a:pt x="0" y="9386"/>
                                </a:lnTo>
                                <a:lnTo>
                                  <a:pt x="5577514" y="9386"/>
                                </a:lnTo>
                                <a:lnTo>
                                  <a:pt x="55775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86.400002pt;margin-top:11.365788pt;width:439.2pt;height:.75pt;mso-position-horizontal-relative:page;mso-position-vertical-relative:paragraph;z-index:-15720960;mso-wrap-distance-left:0;mso-wrap-distance-right:0" id="docshapegroup67" coordorigin="1728,227" coordsize="8784,15">
                <v:rect style="position:absolute;left:1735;top:227;width:8777;height:15" id="docshape68" filled="true" fillcolor="#000000" stroked="false">
                  <v:fill type="solid"/>
                </v:rect>
                <v:rect style="position:absolute;left:1728;top:227;width:8784;height:15" id="docshape69" filled="true" fillcolor="#000000" stroked="false">
                  <v:fill type="solid"/>
                </v:rect>
                <w10:wrap type="topAndBottom"/>
              </v:group>
            </w:pict>
          </mc:Fallback>
        </mc:AlternateContent>
      </w:r>
    </w:p>
    <w:p>
      <w:pPr>
        <w:spacing w:before="3"/>
        <w:ind w:left="1008" w:right="0" w:firstLine="0"/>
        <w:jc w:val="left"/>
        <w:rPr>
          <w:rFonts w:ascii="Arial MT"/>
          <w:sz w:val="16"/>
        </w:rPr>
      </w:pPr>
      <w:r>
        <w:rPr>
          <w:rFonts w:ascii="Arial MT"/>
          <w:spacing w:val="-2"/>
          <w:sz w:val="16"/>
        </w:rPr>
        <w:t>Notes:</w:t>
      </w:r>
    </w:p>
    <w:p>
      <w:pPr>
        <w:pStyle w:val="ListParagraph"/>
        <w:numPr>
          <w:ilvl w:val="0"/>
          <w:numId w:val="5"/>
        </w:numPr>
        <w:tabs>
          <w:tab w:pos="1292" w:val="left" w:leader="none"/>
        </w:tabs>
        <w:spacing w:line="183" w:lineRule="exact" w:before="1" w:after="0"/>
        <w:ind w:left="1292" w:right="0" w:hanging="284"/>
        <w:jc w:val="left"/>
        <w:rPr>
          <w:sz w:val="16"/>
        </w:rPr>
      </w:pPr>
      <w:r>
        <w:rPr>
          <w:sz w:val="16"/>
        </w:rPr>
        <w:t>Based</w:t>
      </w:r>
      <w:r>
        <w:rPr>
          <w:spacing w:val="-6"/>
          <w:sz w:val="16"/>
        </w:rPr>
        <w:t> </w:t>
      </w:r>
      <w:r>
        <w:rPr>
          <w:sz w:val="16"/>
        </w:rPr>
        <w:t>on</w:t>
      </w:r>
      <w:r>
        <w:rPr>
          <w:spacing w:val="-5"/>
          <w:sz w:val="16"/>
        </w:rPr>
        <w:t> </w:t>
      </w:r>
      <w:r>
        <w:rPr>
          <w:sz w:val="16"/>
        </w:rPr>
        <w:t>the</w:t>
      </w:r>
      <w:r>
        <w:rPr>
          <w:spacing w:val="-3"/>
          <w:sz w:val="16"/>
        </w:rPr>
        <w:t> </w:t>
      </w:r>
      <w:r>
        <w:rPr>
          <w:sz w:val="16"/>
        </w:rPr>
        <w:t>number</w:t>
      </w:r>
      <w:r>
        <w:rPr>
          <w:spacing w:val="-3"/>
          <w:sz w:val="16"/>
        </w:rPr>
        <w:t> </w:t>
      </w:r>
      <w:r>
        <w:rPr>
          <w:sz w:val="16"/>
        </w:rPr>
        <w:t>of</w:t>
      </w:r>
      <w:r>
        <w:rPr>
          <w:spacing w:val="-3"/>
          <w:sz w:val="16"/>
        </w:rPr>
        <w:t> </w:t>
      </w:r>
      <w:r>
        <w:rPr>
          <w:sz w:val="16"/>
        </w:rPr>
        <w:t>beds</w:t>
      </w:r>
      <w:r>
        <w:rPr>
          <w:spacing w:val="-4"/>
          <w:sz w:val="16"/>
        </w:rPr>
        <w:t> </w:t>
      </w:r>
      <w:r>
        <w:rPr>
          <w:sz w:val="16"/>
        </w:rPr>
        <w:t>and</w:t>
      </w:r>
      <w:r>
        <w:rPr>
          <w:spacing w:val="-3"/>
          <w:sz w:val="16"/>
        </w:rPr>
        <w:t> </w:t>
      </w:r>
      <w:r>
        <w:rPr>
          <w:sz w:val="16"/>
        </w:rPr>
        <w:t>the weighted</w:t>
      </w:r>
      <w:r>
        <w:rPr>
          <w:spacing w:val="-5"/>
          <w:sz w:val="16"/>
        </w:rPr>
        <w:t> </w:t>
      </w:r>
      <w:r>
        <w:rPr>
          <w:sz w:val="16"/>
        </w:rPr>
        <w:t>average</w:t>
      </w:r>
      <w:r>
        <w:rPr>
          <w:spacing w:val="-4"/>
          <w:sz w:val="16"/>
        </w:rPr>
        <w:t> </w:t>
      </w:r>
      <w:r>
        <w:rPr>
          <w:sz w:val="16"/>
        </w:rPr>
        <w:t>bed</w:t>
      </w:r>
      <w:r>
        <w:rPr>
          <w:spacing w:val="-5"/>
          <w:sz w:val="16"/>
        </w:rPr>
        <w:t> </w:t>
      </w:r>
      <w:r>
        <w:rPr>
          <w:sz w:val="16"/>
        </w:rPr>
        <w:t>lease</w:t>
      </w:r>
      <w:r>
        <w:rPr>
          <w:spacing w:val="-3"/>
          <w:sz w:val="16"/>
        </w:rPr>
        <w:t> </w:t>
      </w:r>
      <w:r>
        <w:rPr>
          <w:sz w:val="16"/>
        </w:rPr>
        <w:t>rental</w:t>
      </w:r>
      <w:r>
        <w:rPr>
          <w:spacing w:val="-5"/>
          <w:sz w:val="16"/>
        </w:rPr>
        <w:t> </w:t>
      </w:r>
      <w:r>
        <w:rPr>
          <w:sz w:val="16"/>
        </w:rPr>
        <w:t>rate,</w:t>
      </w:r>
      <w:r>
        <w:rPr>
          <w:spacing w:val="-4"/>
          <w:sz w:val="16"/>
        </w:rPr>
        <w:t> </w:t>
      </w:r>
      <w:r>
        <w:rPr>
          <w:sz w:val="16"/>
        </w:rPr>
        <w:t>by</w:t>
      </w:r>
      <w:r>
        <w:rPr>
          <w:spacing w:val="-4"/>
          <w:sz w:val="16"/>
        </w:rPr>
        <w:t> </w:t>
      </w:r>
      <w:r>
        <w:rPr>
          <w:sz w:val="16"/>
        </w:rPr>
        <w:t>unit</w:t>
      </w:r>
      <w:r>
        <w:rPr>
          <w:spacing w:val="-4"/>
          <w:sz w:val="16"/>
        </w:rPr>
        <w:t> </w:t>
      </w:r>
      <w:r>
        <w:rPr>
          <w:spacing w:val="-2"/>
          <w:sz w:val="16"/>
        </w:rPr>
        <w:t>type.</w:t>
      </w:r>
    </w:p>
    <w:p>
      <w:pPr>
        <w:pStyle w:val="ListParagraph"/>
        <w:numPr>
          <w:ilvl w:val="0"/>
          <w:numId w:val="5"/>
        </w:numPr>
        <w:tabs>
          <w:tab w:pos="1292" w:val="left" w:leader="none"/>
        </w:tabs>
        <w:spacing w:line="183" w:lineRule="exact" w:before="0" w:after="0"/>
        <w:ind w:left="1292" w:right="0" w:hanging="284"/>
        <w:jc w:val="left"/>
        <w:rPr>
          <w:sz w:val="16"/>
        </w:rPr>
      </w:pPr>
      <w:r>
        <w:rPr>
          <w:sz w:val="16"/>
        </w:rPr>
        <w:t>Based</w:t>
      </w:r>
      <w:r>
        <w:rPr>
          <w:spacing w:val="-5"/>
          <w:sz w:val="16"/>
        </w:rPr>
        <w:t> </w:t>
      </w:r>
      <w:r>
        <w:rPr>
          <w:sz w:val="16"/>
        </w:rPr>
        <w:t>on</w:t>
      </w:r>
      <w:r>
        <w:rPr>
          <w:spacing w:val="-7"/>
          <w:sz w:val="16"/>
        </w:rPr>
        <w:t> </w:t>
      </w:r>
      <w:r>
        <w:rPr>
          <w:sz w:val="16"/>
        </w:rPr>
        <w:t>the</w:t>
      </w:r>
      <w:r>
        <w:rPr>
          <w:spacing w:val="-4"/>
          <w:sz w:val="16"/>
        </w:rPr>
        <w:t> </w:t>
      </w:r>
      <w:r>
        <w:rPr>
          <w:sz w:val="16"/>
        </w:rPr>
        <w:t>weighted</w:t>
      </w:r>
      <w:r>
        <w:rPr>
          <w:spacing w:val="-7"/>
          <w:sz w:val="16"/>
        </w:rPr>
        <w:t> </w:t>
      </w:r>
      <w:r>
        <w:rPr>
          <w:sz w:val="16"/>
        </w:rPr>
        <w:t>average</w:t>
      </w:r>
      <w:r>
        <w:rPr>
          <w:spacing w:val="-5"/>
          <w:sz w:val="16"/>
        </w:rPr>
        <w:t> </w:t>
      </w:r>
      <w:r>
        <w:rPr>
          <w:sz w:val="16"/>
        </w:rPr>
        <w:t>unit</w:t>
      </w:r>
      <w:r>
        <w:rPr>
          <w:spacing w:val="-3"/>
          <w:sz w:val="16"/>
        </w:rPr>
        <w:t> </w:t>
      </w:r>
      <w:r>
        <w:rPr>
          <w:sz w:val="16"/>
        </w:rPr>
        <w:t>lease</w:t>
      </w:r>
      <w:r>
        <w:rPr>
          <w:spacing w:val="-5"/>
          <w:sz w:val="16"/>
        </w:rPr>
        <w:t> </w:t>
      </w:r>
      <w:r>
        <w:rPr>
          <w:sz w:val="16"/>
        </w:rPr>
        <w:t>rate</w:t>
      </w:r>
      <w:r>
        <w:rPr>
          <w:spacing w:val="-4"/>
          <w:sz w:val="16"/>
        </w:rPr>
        <w:t> </w:t>
      </w:r>
      <w:r>
        <w:rPr>
          <w:sz w:val="16"/>
        </w:rPr>
        <w:t>and</w:t>
      </w:r>
      <w:r>
        <w:rPr>
          <w:spacing w:val="-5"/>
          <w:sz w:val="16"/>
        </w:rPr>
        <w:t> </w:t>
      </w:r>
      <w:r>
        <w:rPr>
          <w:sz w:val="16"/>
        </w:rPr>
        <w:t>unit</w:t>
      </w:r>
      <w:r>
        <w:rPr>
          <w:spacing w:val="-2"/>
          <w:sz w:val="16"/>
        </w:rPr>
        <w:t> </w:t>
      </w:r>
      <w:r>
        <w:rPr>
          <w:sz w:val="16"/>
        </w:rPr>
        <w:t>lease</w:t>
      </w:r>
      <w:r>
        <w:rPr>
          <w:spacing w:val="-5"/>
          <w:sz w:val="16"/>
        </w:rPr>
        <w:t> </w:t>
      </w:r>
      <w:r>
        <w:rPr>
          <w:sz w:val="16"/>
        </w:rPr>
        <w:t>equivalent</w:t>
      </w:r>
      <w:r>
        <w:rPr>
          <w:spacing w:val="-5"/>
          <w:sz w:val="16"/>
        </w:rPr>
        <w:t> </w:t>
      </w:r>
      <w:r>
        <w:rPr>
          <w:sz w:val="16"/>
        </w:rPr>
        <w:t>rate</w:t>
      </w:r>
      <w:r>
        <w:rPr>
          <w:spacing w:val="-5"/>
          <w:sz w:val="16"/>
        </w:rPr>
        <w:t> </w:t>
      </w:r>
      <w:r>
        <w:rPr>
          <w:sz w:val="16"/>
        </w:rPr>
        <w:t>(for</w:t>
      </w:r>
      <w:r>
        <w:rPr>
          <w:spacing w:val="-4"/>
          <w:sz w:val="16"/>
        </w:rPr>
        <w:t> </w:t>
      </w:r>
      <w:r>
        <w:rPr>
          <w:sz w:val="16"/>
        </w:rPr>
        <w:t>bed-leased</w:t>
      </w:r>
      <w:r>
        <w:rPr>
          <w:spacing w:val="-5"/>
          <w:sz w:val="16"/>
        </w:rPr>
        <w:t> </w:t>
      </w:r>
      <w:r>
        <w:rPr>
          <w:sz w:val="16"/>
        </w:rPr>
        <w:t>units),</w:t>
      </w:r>
      <w:r>
        <w:rPr>
          <w:spacing w:val="-4"/>
          <w:sz w:val="16"/>
        </w:rPr>
        <w:t> </w:t>
      </w:r>
      <w:r>
        <w:rPr>
          <w:sz w:val="16"/>
        </w:rPr>
        <w:t>by</w:t>
      </w:r>
      <w:r>
        <w:rPr>
          <w:spacing w:val="-3"/>
          <w:sz w:val="16"/>
        </w:rPr>
        <w:t> </w:t>
      </w:r>
      <w:r>
        <w:rPr>
          <w:sz w:val="16"/>
        </w:rPr>
        <w:t>unit</w:t>
      </w:r>
      <w:r>
        <w:rPr>
          <w:spacing w:val="-3"/>
          <w:sz w:val="16"/>
        </w:rPr>
        <w:t> </w:t>
      </w:r>
      <w:r>
        <w:rPr>
          <w:spacing w:val="-2"/>
          <w:sz w:val="16"/>
        </w:rPr>
        <w:t>type.</w:t>
      </w:r>
    </w:p>
    <w:p>
      <w:pPr>
        <w:pStyle w:val="BodyText"/>
        <w:spacing w:before="2"/>
        <w:rPr>
          <w:rFonts w:ascii="Arial MT"/>
          <w:sz w:val="16"/>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3"/>
          <w:sz w:val="16"/>
        </w:rPr>
        <w:t> </w:t>
      </w:r>
      <w:r>
        <w:rPr>
          <w:rFonts w:ascii="Arial MT"/>
          <w:spacing w:val="-2"/>
          <w:sz w:val="16"/>
        </w:rPr>
        <w:t>2021.</w:t>
      </w:r>
    </w:p>
    <w:p>
      <w:pPr>
        <w:pStyle w:val="BodyText"/>
        <w:spacing w:before="166"/>
        <w:rPr>
          <w:rFonts w:ascii="Arial MT"/>
          <w:sz w:val="16"/>
        </w:rPr>
      </w:pPr>
    </w:p>
    <w:p>
      <w:pPr>
        <w:spacing w:before="0"/>
        <w:ind w:left="1008" w:right="0" w:firstLine="0"/>
        <w:jc w:val="left"/>
        <w:rPr>
          <w:i/>
          <w:sz w:val="22"/>
        </w:rPr>
      </w:pPr>
      <w:r>
        <w:rPr>
          <w:i/>
          <w:sz w:val="22"/>
        </w:rPr>
        <w:t>Additional</w:t>
      </w:r>
      <w:r>
        <w:rPr>
          <w:i/>
          <w:spacing w:val="79"/>
          <w:sz w:val="22"/>
        </w:rPr>
        <w:t> </w:t>
      </w:r>
      <w:r>
        <w:rPr>
          <w:i/>
          <w:sz w:val="22"/>
        </w:rPr>
        <w:t>Recurring</w:t>
      </w:r>
      <w:r>
        <w:rPr>
          <w:i/>
          <w:spacing w:val="79"/>
          <w:sz w:val="22"/>
        </w:rPr>
        <w:t> </w:t>
      </w:r>
      <w:r>
        <w:rPr>
          <w:i/>
          <w:spacing w:val="-2"/>
          <w:sz w:val="22"/>
        </w:rPr>
        <w:t>Charges</w:t>
      </w:r>
    </w:p>
    <w:p>
      <w:pPr>
        <w:pStyle w:val="BodyText"/>
        <w:spacing w:line="288" w:lineRule="auto" w:before="51"/>
        <w:ind w:left="1008" w:right="1001"/>
      </w:pPr>
      <w:r>
        <w:rPr/>
        <w:t>Prior survey efforts identified</w:t>
      </w:r>
      <w:r>
        <w:rPr>
          <w:spacing w:val="-3"/>
        </w:rPr>
        <w:t> </w:t>
      </w:r>
      <w:r>
        <w:rPr/>
        <w:t>an increasing prevalence of complexes charging</w:t>
      </w:r>
      <w:r>
        <w:rPr>
          <w:spacing w:val="-3"/>
        </w:rPr>
        <w:t> </w:t>
      </w:r>
      <w:r>
        <w:rPr/>
        <w:t>tenants separately for amenities and services that</w:t>
      </w:r>
      <w:r>
        <w:rPr>
          <w:spacing w:val="-1"/>
        </w:rPr>
        <w:t> </w:t>
      </w:r>
      <w:r>
        <w:rPr/>
        <w:t>have historically been included in rent.</w:t>
      </w:r>
      <w:r>
        <w:rPr>
          <w:spacing w:val="40"/>
        </w:rPr>
        <w:t> </w:t>
      </w:r>
      <w:r>
        <w:rPr/>
        <w:t>For example,</w:t>
      </w:r>
      <w:r>
        <w:rPr>
          <w:spacing w:val="-14"/>
        </w:rPr>
        <w:t> </w:t>
      </w:r>
      <w:r>
        <w:rPr/>
        <w:t>some</w:t>
      </w:r>
      <w:r>
        <w:rPr>
          <w:spacing w:val="-14"/>
        </w:rPr>
        <w:t> </w:t>
      </w:r>
      <w:r>
        <w:rPr/>
        <w:t>complexes</w:t>
      </w:r>
      <w:r>
        <w:rPr>
          <w:spacing w:val="-14"/>
        </w:rPr>
        <w:t> </w:t>
      </w:r>
      <w:r>
        <w:rPr/>
        <w:t>have</w:t>
      </w:r>
      <w:r>
        <w:rPr>
          <w:spacing w:val="-13"/>
        </w:rPr>
        <w:t> </w:t>
      </w:r>
      <w:r>
        <w:rPr/>
        <w:t>started</w:t>
      </w:r>
      <w:r>
        <w:rPr>
          <w:spacing w:val="-14"/>
        </w:rPr>
        <w:t> </w:t>
      </w:r>
      <w:r>
        <w:rPr/>
        <w:t>charging</w:t>
      </w:r>
      <w:r>
        <w:rPr>
          <w:spacing w:val="-14"/>
        </w:rPr>
        <w:t> </w:t>
      </w:r>
      <w:r>
        <w:rPr/>
        <w:t>a</w:t>
      </w:r>
      <w:r>
        <w:rPr>
          <w:spacing w:val="-14"/>
        </w:rPr>
        <w:t> </w:t>
      </w:r>
      <w:r>
        <w:rPr/>
        <w:t>recurring</w:t>
      </w:r>
      <w:r>
        <w:rPr>
          <w:spacing w:val="-13"/>
        </w:rPr>
        <w:t> </w:t>
      </w:r>
      <w:r>
        <w:rPr/>
        <w:t>monthly</w:t>
      </w:r>
      <w:r>
        <w:rPr>
          <w:spacing w:val="-14"/>
        </w:rPr>
        <w:t> </w:t>
      </w:r>
      <w:r>
        <w:rPr/>
        <w:t>fee</w:t>
      </w:r>
      <w:r>
        <w:rPr>
          <w:spacing w:val="-14"/>
        </w:rPr>
        <w:t> </w:t>
      </w:r>
      <w:r>
        <w:rPr/>
        <w:t>for</w:t>
      </w:r>
      <w:r>
        <w:rPr>
          <w:spacing w:val="-14"/>
        </w:rPr>
        <w:t> </w:t>
      </w:r>
      <w:r>
        <w:rPr/>
        <w:t>water,</w:t>
      </w:r>
      <w:r>
        <w:rPr>
          <w:spacing w:val="-13"/>
        </w:rPr>
        <w:t> </w:t>
      </w:r>
      <w:r>
        <w:rPr/>
        <w:t>sewer,</w:t>
      </w:r>
      <w:r>
        <w:rPr>
          <w:spacing w:val="-14"/>
        </w:rPr>
        <w:t> </w:t>
      </w:r>
      <w:r>
        <w:rPr/>
        <w:t>and garbage service, or</w:t>
      </w:r>
      <w:r>
        <w:rPr>
          <w:spacing w:val="-2"/>
        </w:rPr>
        <w:t> </w:t>
      </w:r>
      <w:r>
        <w:rPr/>
        <w:t>for the use of certain on-site amenities.</w:t>
      </w:r>
      <w:r>
        <w:rPr>
          <w:spacing w:val="40"/>
        </w:rPr>
        <w:t> </w:t>
      </w:r>
      <w:r>
        <w:rPr/>
        <w:t>In many cases, these newly itemized</w:t>
      </w:r>
      <w:r>
        <w:rPr>
          <w:spacing w:val="-6"/>
        </w:rPr>
        <w:t> </w:t>
      </w:r>
      <w:r>
        <w:rPr/>
        <w:t>charges</w:t>
      </w:r>
      <w:r>
        <w:rPr>
          <w:spacing w:val="-7"/>
        </w:rPr>
        <w:t> </w:t>
      </w:r>
      <w:r>
        <w:rPr/>
        <w:t>are</w:t>
      </w:r>
      <w:r>
        <w:rPr>
          <w:spacing w:val="-7"/>
        </w:rPr>
        <w:t> </w:t>
      </w:r>
      <w:r>
        <w:rPr/>
        <w:t>mandatory,</w:t>
      </w:r>
      <w:r>
        <w:rPr>
          <w:spacing w:val="-5"/>
        </w:rPr>
        <w:t> </w:t>
      </w:r>
      <w:r>
        <w:rPr/>
        <w:t>but</w:t>
      </w:r>
      <w:r>
        <w:rPr>
          <w:spacing w:val="-8"/>
        </w:rPr>
        <w:t> </w:t>
      </w:r>
      <w:r>
        <w:rPr/>
        <w:t>are</w:t>
      </w:r>
      <w:r>
        <w:rPr>
          <w:spacing w:val="-5"/>
        </w:rPr>
        <w:t> </w:t>
      </w:r>
      <w:r>
        <w:rPr/>
        <w:t>considered</w:t>
      </w:r>
      <w:r>
        <w:rPr>
          <w:spacing w:val="-7"/>
        </w:rPr>
        <w:t> </w:t>
      </w:r>
      <w:r>
        <w:rPr/>
        <w:t>to</w:t>
      </w:r>
      <w:r>
        <w:rPr>
          <w:spacing w:val="-5"/>
        </w:rPr>
        <w:t> </w:t>
      </w:r>
      <w:r>
        <w:rPr/>
        <w:t>be</w:t>
      </w:r>
      <w:r>
        <w:rPr>
          <w:spacing w:val="-5"/>
        </w:rPr>
        <w:t> </w:t>
      </w:r>
      <w:r>
        <w:rPr/>
        <w:t>separate</w:t>
      </w:r>
      <w:r>
        <w:rPr>
          <w:spacing w:val="-7"/>
        </w:rPr>
        <w:t> </w:t>
      </w:r>
      <w:r>
        <w:rPr/>
        <w:t>from</w:t>
      </w:r>
      <w:r>
        <w:rPr>
          <w:spacing w:val="-5"/>
        </w:rPr>
        <w:t> </w:t>
      </w:r>
      <w:r>
        <w:rPr/>
        <w:t>rent.</w:t>
      </w:r>
      <w:r>
        <w:rPr>
          <w:spacing w:val="40"/>
        </w:rPr>
        <w:t> </w:t>
      </w:r>
      <w:r>
        <w:rPr/>
        <w:t>To</w:t>
      </w:r>
      <w:r>
        <w:rPr>
          <w:spacing w:val="-7"/>
        </w:rPr>
        <w:t> </w:t>
      </w:r>
      <w:r>
        <w:rPr/>
        <w:t>account</w:t>
      </w:r>
      <w:r>
        <w:rPr>
          <w:spacing w:val="-8"/>
        </w:rPr>
        <w:t> </w:t>
      </w:r>
      <w:r>
        <w:rPr/>
        <w:t>for this, and to identify other optional charges, the 2021 survey included a question asking respondents</w:t>
      </w:r>
      <w:r>
        <w:rPr>
          <w:spacing w:val="-1"/>
        </w:rPr>
        <w:t> </w:t>
      </w:r>
      <w:r>
        <w:rPr/>
        <w:t>to</w:t>
      </w:r>
      <w:r>
        <w:rPr>
          <w:spacing w:val="-1"/>
        </w:rPr>
        <w:t> </w:t>
      </w:r>
      <w:r>
        <w:rPr/>
        <w:t>more</w:t>
      </w:r>
      <w:r>
        <w:rPr>
          <w:spacing w:val="-1"/>
        </w:rPr>
        <w:t> </w:t>
      </w:r>
      <w:r>
        <w:rPr/>
        <w:t>clearly</w:t>
      </w:r>
      <w:r>
        <w:rPr>
          <w:spacing w:val="-2"/>
        </w:rPr>
        <w:t> </w:t>
      </w:r>
      <w:r>
        <w:rPr/>
        <w:t>identify</w:t>
      </w:r>
      <w:r>
        <w:rPr>
          <w:spacing w:val="-4"/>
        </w:rPr>
        <w:t> </w:t>
      </w:r>
      <w:r>
        <w:rPr/>
        <w:t>additional</w:t>
      </w:r>
      <w:r>
        <w:rPr>
          <w:spacing w:val="-4"/>
        </w:rPr>
        <w:t> </w:t>
      </w:r>
      <w:r>
        <w:rPr/>
        <w:t>monthly</w:t>
      </w:r>
      <w:r>
        <w:rPr>
          <w:spacing w:val="-2"/>
        </w:rPr>
        <w:t> </w:t>
      </w:r>
      <w:r>
        <w:rPr/>
        <w:t>charges</w:t>
      </w:r>
      <w:r>
        <w:rPr>
          <w:spacing w:val="-1"/>
        </w:rPr>
        <w:t> </w:t>
      </w:r>
      <w:r>
        <w:rPr/>
        <w:t>that</w:t>
      </w:r>
      <w:r>
        <w:rPr>
          <w:spacing w:val="-5"/>
        </w:rPr>
        <w:t> </w:t>
      </w:r>
      <w:r>
        <w:rPr/>
        <w:t>are</w:t>
      </w:r>
      <w:r>
        <w:rPr>
          <w:spacing w:val="-1"/>
        </w:rPr>
        <w:t> </w:t>
      </w:r>
      <w:r>
        <w:rPr/>
        <w:t>not</w:t>
      </w:r>
      <w:r>
        <w:rPr>
          <w:spacing w:val="-2"/>
        </w:rPr>
        <w:t> </w:t>
      </w:r>
      <w:r>
        <w:rPr/>
        <w:t>included</w:t>
      </w:r>
      <w:r>
        <w:rPr>
          <w:spacing w:val="-1"/>
        </w:rPr>
        <w:t> </w:t>
      </w:r>
      <w:r>
        <w:rPr/>
        <w:t>in</w:t>
      </w:r>
      <w:r>
        <w:rPr>
          <w:spacing w:val="-3"/>
        </w:rPr>
        <w:t> </w:t>
      </w:r>
      <w:r>
        <w:rPr/>
        <w:t>the monthly rent amount paid by tenants.</w:t>
      </w:r>
    </w:p>
    <w:p>
      <w:pPr>
        <w:pStyle w:val="BodyText"/>
        <w:spacing w:before="56"/>
      </w:pPr>
    </w:p>
    <w:p>
      <w:pPr>
        <w:spacing w:before="0"/>
        <w:ind w:left="1008" w:right="0" w:firstLine="0"/>
        <w:jc w:val="left"/>
        <w:rPr>
          <w:i/>
          <w:sz w:val="22"/>
        </w:rPr>
      </w:pPr>
      <w:r>
        <w:rPr>
          <w:i/>
          <w:sz w:val="22"/>
        </w:rPr>
        <w:t>Additional</w:t>
      </w:r>
      <w:r>
        <w:rPr>
          <w:i/>
          <w:spacing w:val="-14"/>
          <w:sz w:val="22"/>
        </w:rPr>
        <w:t> </w:t>
      </w:r>
      <w:r>
        <w:rPr>
          <w:i/>
          <w:sz w:val="22"/>
        </w:rPr>
        <w:t>Unit</w:t>
      </w:r>
      <w:r>
        <w:rPr>
          <w:i/>
          <w:spacing w:val="-12"/>
          <w:sz w:val="22"/>
        </w:rPr>
        <w:t> </w:t>
      </w:r>
      <w:r>
        <w:rPr>
          <w:i/>
          <w:sz w:val="22"/>
        </w:rPr>
        <w:t>Lease</w:t>
      </w:r>
      <w:r>
        <w:rPr>
          <w:i/>
          <w:spacing w:val="-12"/>
          <w:sz w:val="22"/>
        </w:rPr>
        <w:t> </w:t>
      </w:r>
      <w:r>
        <w:rPr>
          <w:i/>
          <w:spacing w:val="-2"/>
          <w:sz w:val="22"/>
        </w:rPr>
        <w:t>Charges</w:t>
      </w:r>
    </w:p>
    <w:p>
      <w:pPr>
        <w:pStyle w:val="BodyText"/>
        <w:spacing w:line="288" w:lineRule="auto" w:before="51"/>
        <w:ind w:left="1008" w:right="1001"/>
      </w:pPr>
      <w:r>
        <w:rPr/>
        <w:t>A</w:t>
      </w:r>
      <w:r>
        <w:rPr>
          <w:spacing w:val="-3"/>
        </w:rPr>
        <w:t> </w:t>
      </w:r>
      <w:r>
        <w:rPr/>
        <w:t>total</w:t>
      </w:r>
      <w:r>
        <w:rPr>
          <w:spacing w:val="-2"/>
        </w:rPr>
        <w:t> </w:t>
      </w:r>
      <w:r>
        <w:rPr/>
        <w:t>of</w:t>
      </w:r>
      <w:r>
        <w:rPr>
          <w:spacing w:val="-3"/>
        </w:rPr>
        <w:t> </w:t>
      </w:r>
      <w:r>
        <w:rPr/>
        <w:t>34</w:t>
      </w:r>
      <w:r>
        <w:rPr>
          <w:spacing w:val="-2"/>
        </w:rPr>
        <w:t> </w:t>
      </w:r>
      <w:r>
        <w:rPr/>
        <w:t>unit-lease</w:t>
      </w:r>
      <w:r>
        <w:rPr>
          <w:spacing w:val="-2"/>
        </w:rPr>
        <w:t> </w:t>
      </w:r>
      <w:r>
        <w:rPr/>
        <w:t>complexes</w:t>
      </w:r>
      <w:r>
        <w:rPr>
          <w:spacing w:val="-2"/>
        </w:rPr>
        <w:t> </w:t>
      </w:r>
      <w:r>
        <w:rPr/>
        <w:t>indicated</w:t>
      </w:r>
      <w:r>
        <w:rPr>
          <w:spacing w:val="-1"/>
        </w:rPr>
        <w:t> </w:t>
      </w:r>
      <w:r>
        <w:rPr/>
        <w:t>that</w:t>
      </w:r>
      <w:r>
        <w:rPr>
          <w:spacing w:val="-3"/>
        </w:rPr>
        <w:t> </w:t>
      </w:r>
      <w:r>
        <w:rPr/>
        <w:t>they</w:t>
      </w:r>
      <w:r>
        <w:rPr>
          <w:spacing w:val="-2"/>
        </w:rPr>
        <w:t> </w:t>
      </w:r>
      <w:r>
        <w:rPr/>
        <w:t>levy</w:t>
      </w:r>
      <w:r>
        <w:rPr>
          <w:spacing w:val="-2"/>
        </w:rPr>
        <w:t> </w:t>
      </w:r>
      <w:r>
        <w:rPr/>
        <w:t>additional</w:t>
      </w:r>
      <w:r>
        <w:rPr>
          <w:spacing w:val="-2"/>
        </w:rPr>
        <w:t> </w:t>
      </w:r>
      <w:r>
        <w:rPr/>
        <w:t>mandatory</w:t>
      </w:r>
      <w:r>
        <w:rPr>
          <w:spacing w:val="-3"/>
        </w:rPr>
        <w:t> </w:t>
      </w:r>
      <w:r>
        <w:rPr/>
        <w:t>charges</w:t>
      </w:r>
      <w:r>
        <w:rPr>
          <w:spacing w:val="-2"/>
        </w:rPr>
        <w:t> </w:t>
      </w:r>
      <w:r>
        <w:rPr/>
        <w:t>in addition</w:t>
      </w:r>
      <w:r>
        <w:rPr>
          <w:spacing w:val="-3"/>
        </w:rPr>
        <w:t> </w:t>
      </w:r>
      <w:r>
        <w:rPr/>
        <w:t>to</w:t>
      </w:r>
      <w:r>
        <w:rPr>
          <w:spacing w:val="-5"/>
        </w:rPr>
        <w:t> </w:t>
      </w:r>
      <w:r>
        <w:rPr/>
        <w:t>rent.</w:t>
      </w:r>
      <w:r>
        <w:rPr>
          <w:spacing w:val="40"/>
        </w:rPr>
        <w:t> </w:t>
      </w:r>
      <w:r>
        <w:rPr/>
        <w:t>These</w:t>
      </w:r>
      <w:r>
        <w:rPr>
          <w:spacing w:val="-5"/>
        </w:rPr>
        <w:t> </w:t>
      </w:r>
      <w:r>
        <w:rPr/>
        <w:t>are</w:t>
      </w:r>
      <w:r>
        <w:rPr>
          <w:spacing w:val="-3"/>
        </w:rPr>
        <w:t> </w:t>
      </w:r>
      <w:r>
        <w:rPr/>
        <w:t>most</w:t>
      </w:r>
      <w:r>
        <w:rPr>
          <w:spacing w:val="-4"/>
        </w:rPr>
        <w:t> </w:t>
      </w:r>
      <w:r>
        <w:rPr/>
        <w:t>typically</w:t>
      </w:r>
      <w:r>
        <w:rPr>
          <w:spacing w:val="-3"/>
        </w:rPr>
        <w:t> </w:t>
      </w:r>
      <w:r>
        <w:rPr/>
        <w:t>associated</w:t>
      </w:r>
      <w:r>
        <w:rPr>
          <w:spacing w:val="-3"/>
        </w:rPr>
        <w:t> </w:t>
      </w:r>
      <w:r>
        <w:rPr/>
        <w:t>with</w:t>
      </w:r>
      <w:r>
        <w:rPr>
          <w:spacing w:val="-5"/>
        </w:rPr>
        <w:t> </w:t>
      </w:r>
      <w:r>
        <w:rPr/>
        <w:t>utility</w:t>
      </w:r>
      <w:r>
        <w:rPr>
          <w:spacing w:val="-3"/>
        </w:rPr>
        <w:t> </w:t>
      </w:r>
      <w:r>
        <w:rPr/>
        <w:t>usage</w:t>
      </w:r>
      <w:r>
        <w:rPr>
          <w:spacing w:val="-3"/>
        </w:rPr>
        <w:t> </w:t>
      </w:r>
      <w:r>
        <w:rPr/>
        <w:t>and</w:t>
      </w:r>
      <w:r>
        <w:rPr>
          <w:spacing w:val="-2"/>
        </w:rPr>
        <w:t> </w:t>
      </w:r>
      <w:r>
        <w:rPr/>
        <w:t>parking.</w:t>
      </w:r>
      <w:r>
        <w:rPr>
          <w:spacing w:val="40"/>
        </w:rPr>
        <w:t> </w:t>
      </w:r>
      <w:r>
        <w:rPr/>
        <w:t>Among the 27</w:t>
      </w:r>
      <w:r>
        <w:rPr>
          <w:spacing w:val="-3"/>
        </w:rPr>
        <w:t> </w:t>
      </w:r>
      <w:r>
        <w:rPr/>
        <w:t>complexes that</w:t>
      </w:r>
      <w:r>
        <w:rPr>
          <w:spacing w:val="-1"/>
        </w:rPr>
        <w:t> </w:t>
      </w:r>
      <w:r>
        <w:rPr/>
        <w:t>charge a</w:t>
      </w:r>
      <w:r>
        <w:rPr>
          <w:spacing w:val="-2"/>
        </w:rPr>
        <w:t> </w:t>
      </w:r>
      <w:r>
        <w:rPr/>
        <w:t>separate utility fee, thirteen of them charged</w:t>
      </w:r>
      <w:r>
        <w:rPr>
          <w:spacing w:val="-1"/>
        </w:rPr>
        <w:t> </w:t>
      </w:r>
      <w:r>
        <w:rPr/>
        <w:t>between $15 and</w:t>
      </w:r>
      <w:r>
        <w:rPr>
          <w:spacing w:val="-9"/>
        </w:rPr>
        <w:t> </w:t>
      </w:r>
      <w:r>
        <w:rPr/>
        <w:t>$65</w:t>
      </w:r>
      <w:r>
        <w:rPr>
          <w:spacing w:val="-8"/>
        </w:rPr>
        <w:t> </w:t>
      </w:r>
      <w:r>
        <w:rPr/>
        <w:t>per</w:t>
      </w:r>
      <w:r>
        <w:rPr>
          <w:spacing w:val="-9"/>
        </w:rPr>
        <w:t> </w:t>
      </w:r>
      <w:r>
        <w:rPr/>
        <w:t>person,</w:t>
      </w:r>
      <w:r>
        <w:rPr>
          <w:spacing w:val="-8"/>
        </w:rPr>
        <w:t> </w:t>
      </w:r>
      <w:r>
        <w:rPr/>
        <w:t>while</w:t>
      </w:r>
      <w:r>
        <w:rPr>
          <w:spacing w:val="-10"/>
        </w:rPr>
        <w:t> </w:t>
      </w:r>
      <w:r>
        <w:rPr/>
        <w:t>14</w:t>
      </w:r>
      <w:r>
        <w:rPr>
          <w:spacing w:val="-8"/>
        </w:rPr>
        <w:t> </w:t>
      </w:r>
      <w:r>
        <w:rPr/>
        <w:t>others</w:t>
      </w:r>
      <w:r>
        <w:rPr>
          <w:spacing w:val="-8"/>
        </w:rPr>
        <w:t> </w:t>
      </w:r>
      <w:r>
        <w:rPr/>
        <w:t>reported</w:t>
      </w:r>
      <w:r>
        <w:rPr>
          <w:spacing w:val="-9"/>
        </w:rPr>
        <w:t> </w:t>
      </w:r>
      <w:r>
        <w:rPr/>
        <w:t>an</w:t>
      </w:r>
      <w:r>
        <w:rPr>
          <w:spacing w:val="-8"/>
        </w:rPr>
        <w:t> </w:t>
      </w:r>
      <w:r>
        <w:rPr/>
        <w:t>additional</w:t>
      </w:r>
      <w:r>
        <w:rPr>
          <w:spacing w:val="-8"/>
        </w:rPr>
        <w:t> </w:t>
      </w:r>
      <w:r>
        <w:rPr/>
        <w:t>utility</w:t>
      </w:r>
      <w:r>
        <w:rPr>
          <w:spacing w:val="-8"/>
        </w:rPr>
        <w:t> </w:t>
      </w:r>
      <w:r>
        <w:rPr/>
        <w:t>fee</w:t>
      </w:r>
      <w:r>
        <w:rPr>
          <w:spacing w:val="-10"/>
        </w:rPr>
        <w:t> </w:t>
      </w:r>
      <w:r>
        <w:rPr/>
        <w:t>based</w:t>
      </w:r>
      <w:r>
        <w:rPr>
          <w:spacing w:val="-10"/>
        </w:rPr>
        <w:t> </w:t>
      </w:r>
      <w:r>
        <w:rPr/>
        <w:t>on</w:t>
      </w:r>
      <w:r>
        <w:rPr>
          <w:spacing w:val="-8"/>
        </w:rPr>
        <w:t> </w:t>
      </w:r>
      <w:r>
        <w:rPr/>
        <w:t>usage.</w:t>
      </w:r>
      <w:r>
        <w:rPr>
          <w:spacing w:val="40"/>
        </w:rPr>
        <w:t> </w:t>
      </w:r>
      <w:r>
        <w:rPr/>
        <w:t>A</w:t>
      </w:r>
      <w:r>
        <w:rPr>
          <w:spacing w:val="-9"/>
        </w:rPr>
        <w:t> </w:t>
      </w:r>
      <w:r>
        <w:rPr/>
        <w:t>total of</w:t>
      </w:r>
      <w:r>
        <w:rPr>
          <w:spacing w:val="-6"/>
        </w:rPr>
        <w:t> </w:t>
      </w:r>
      <w:r>
        <w:rPr/>
        <w:t>five</w:t>
      </w:r>
      <w:r>
        <w:rPr>
          <w:spacing w:val="-8"/>
        </w:rPr>
        <w:t> </w:t>
      </w:r>
      <w:r>
        <w:rPr/>
        <w:t>complexes</w:t>
      </w:r>
      <w:r>
        <w:rPr>
          <w:spacing w:val="-6"/>
        </w:rPr>
        <w:t> </w:t>
      </w:r>
      <w:r>
        <w:rPr/>
        <w:t>charge</w:t>
      </w:r>
      <w:r>
        <w:rPr>
          <w:spacing w:val="-9"/>
        </w:rPr>
        <w:t> </w:t>
      </w:r>
      <w:r>
        <w:rPr/>
        <w:t>separately</w:t>
      </w:r>
      <w:r>
        <w:rPr>
          <w:spacing w:val="-10"/>
        </w:rPr>
        <w:t> </w:t>
      </w:r>
      <w:r>
        <w:rPr/>
        <w:t>for</w:t>
      </w:r>
      <w:r>
        <w:rPr>
          <w:spacing w:val="-6"/>
        </w:rPr>
        <w:t> </w:t>
      </w:r>
      <w:r>
        <w:rPr/>
        <w:t>parking.</w:t>
      </w:r>
      <w:r>
        <w:rPr>
          <w:spacing w:val="40"/>
        </w:rPr>
        <w:t> </w:t>
      </w:r>
      <w:r>
        <w:rPr/>
        <w:t>Four</w:t>
      </w:r>
      <w:r>
        <w:rPr>
          <w:spacing w:val="-7"/>
        </w:rPr>
        <w:t> </w:t>
      </w:r>
      <w:r>
        <w:rPr/>
        <w:t>respondents</w:t>
      </w:r>
      <w:r>
        <w:rPr>
          <w:spacing w:val="-6"/>
        </w:rPr>
        <w:t> </w:t>
      </w:r>
      <w:r>
        <w:rPr/>
        <w:t>reported</w:t>
      </w:r>
      <w:r>
        <w:rPr>
          <w:spacing w:val="-5"/>
        </w:rPr>
        <w:t> </w:t>
      </w:r>
      <w:r>
        <w:rPr/>
        <w:t>charging</w:t>
      </w:r>
      <w:r>
        <w:rPr>
          <w:spacing w:val="-7"/>
        </w:rPr>
        <w:t> </w:t>
      </w:r>
      <w:r>
        <w:rPr/>
        <w:t>parking fees</w:t>
      </w:r>
      <w:r>
        <w:rPr>
          <w:spacing w:val="-8"/>
        </w:rPr>
        <w:t> </w:t>
      </w:r>
      <w:r>
        <w:rPr/>
        <w:t>on</w:t>
      </w:r>
      <w:r>
        <w:rPr>
          <w:spacing w:val="-11"/>
        </w:rPr>
        <w:t> </w:t>
      </w:r>
      <w:r>
        <w:rPr/>
        <w:t>a</w:t>
      </w:r>
      <w:r>
        <w:rPr>
          <w:spacing w:val="-8"/>
        </w:rPr>
        <w:t> </w:t>
      </w:r>
      <w:r>
        <w:rPr/>
        <w:t>monthly</w:t>
      </w:r>
      <w:r>
        <w:rPr>
          <w:spacing w:val="-9"/>
        </w:rPr>
        <w:t> </w:t>
      </w:r>
      <w:r>
        <w:rPr/>
        <w:t>basis,</w:t>
      </w:r>
      <w:r>
        <w:rPr>
          <w:spacing w:val="-9"/>
        </w:rPr>
        <w:t> </w:t>
      </w:r>
      <w:r>
        <w:rPr/>
        <w:t>with</w:t>
      </w:r>
      <w:r>
        <w:rPr>
          <w:spacing w:val="-9"/>
        </w:rPr>
        <w:t> </w:t>
      </w:r>
      <w:r>
        <w:rPr/>
        <w:t>an</w:t>
      </w:r>
      <w:r>
        <w:rPr>
          <w:spacing w:val="-11"/>
        </w:rPr>
        <w:t> </w:t>
      </w:r>
      <w:r>
        <w:rPr/>
        <w:t>average</w:t>
      </w:r>
      <w:r>
        <w:rPr>
          <w:spacing w:val="-12"/>
        </w:rPr>
        <w:t> </w:t>
      </w:r>
      <w:r>
        <w:rPr/>
        <w:t>cost</w:t>
      </w:r>
      <w:r>
        <w:rPr>
          <w:spacing w:val="-10"/>
        </w:rPr>
        <w:t> </w:t>
      </w:r>
      <w:r>
        <w:rPr/>
        <w:t>of</w:t>
      </w:r>
      <w:r>
        <w:rPr>
          <w:spacing w:val="-11"/>
        </w:rPr>
        <w:t> </w:t>
      </w:r>
      <w:r>
        <w:rPr/>
        <w:t>$30</w:t>
      </w:r>
      <w:r>
        <w:rPr>
          <w:spacing w:val="-11"/>
        </w:rPr>
        <w:t> </w:t>
      </w:r>
      <w:r>
        <w:rPr/>
        <w:t>per</w:t>
      </w:r>
      <w:r>
        <w:rPr>
          <w:spacing w:val="-10"/>
        </w:rPr>
        <w:t> </w:t>
      </w:r>
      <w:r>
        <w:rPr/>
        <w:t>month,</w:t>
      </w:r>
      <w:r>
        <w:rPr>
          <w:spacing w:val="-9"/>
        </w:rPr>
        <w:t> </w:t>
      </w:r>
      <w:r>
        <w:rPr/>
        <w:t>while</w:t>
      </w:r>
      <w:r>
        <w:rPr>
          <w:spacing w:val="-9"/>
        </w:rPr>
        <w:t> </w:t>
      </w:r>
      <w:r>
        <w:rPr/>
        <w:t>the</w:t>
      </w:r>
      <w:r>
        <w:rPr>
          <w:spacing w:val="-11"/>
        </w:rPr>
        <w:t> </w:t>
      </w:r>
      <w:r>
        <w:rPr/>
        <w:t>other</w:t>
      </w:r>
      <w:r>
        <w:rPr>
          <w:spacing w:val="-10"/>
        </w:rPr>
        <w:t> </w:t>
      </w:r>
      <w:r>
        <w:rPr/>
        <w:t>did</w:t>
      </w:r>
      <w:r>
        <w:rPr>
          <w:spacing w:val="-9"/>
        </w:rPr>
        <w:t> </w:t>
      </w:r>
      <w:r>
        <w:rPr/>
        <w:t>not</w:t>
      </w:r>
      <w:r>
        <w:rPr>
          <w:spacing w:val="-9"/>
        </w:rPr>
        <w:t> </w:t>
      </w:r>
      <w:r>
        <w:rPr/>
        <w:t>report the</w:t>
      </w:r>
      <w:r>
        <w:rPr>
          <w:spacing w:val="-2"/>
        </w:rPr>
        <w:t> </w:t>
      </w:r>
      <w:r>
        <w:rPr/>
        <w:t>payment</w:t>
      </w:r>
      <w:r>
        <w:rPr>
          <w:spacing w:val="-5"/>
        </w:rPr>
        <w:t> </w:t>
      </w:r>
      <w:r>
        <w:rPr/>
        <w:t>amount.</w:t>
      </w:r>
      <w:r>
        <w:rPr>
          <w:spacing w:val="40"/>
        </w:rPr>
        <w:t> </w:t>
      </w:r>
      <w:r>
        <w:rPr/>
        <w:t>Some</w:t>
      </w:r>
      <w:r>
        <w:rPr>
          <w:spacing w:val="-2"/>
        </w:rPr>
        <w:t> </w:t>
      </w:r>
      <w:r>
        <w:rPr/>
        <w:t>examples</w:t>
      </w:r>
      <w:r>
        <w:rPr>
          <w:spacing w:val="-2"/>
        </w:rPr>
        <w:t> </w:t>
      </w:r>
      <w:r>
        <w:rPr/>
        <w:t>of</w:t>
      </w:r>
      <w:r>
        <w:rPr>
          <w:spacing w:val="-2"/>
        </w:rPr>
        <w:t> </w:t>
      </w:r>
      <w:r>
        <w:rPr/>
        <w:t>other</w:t>
      </w:r>
      <w:r>
        <w:rPr>
          <w:spacing w:val="-3"/>
        </w:rPr>
        <w:t> </w:t>
      </w:r>
      <w:r>
        <w:rPr/>
        <w:t>additional</w:t>
      </w:r>
      <w:r>
        <w:rPr>
          <w:spacing w:val="-2"/>
        </w:rPr>
        <w:t> </w:t>
      </w:r>
      <w:r>
        <w:rPr/>
        <w:t>charges</w:t>
      </w:r>
      <w:r>
        <w:rPr>
          <w:spacing w:val="-2"/>
        </w:rPr>
        <w:t> </w:t>
      </w:r>
      <w:r>
        <w:rPr/>
        <w:t>include</w:t>
      </w:r>
      <w:r>
        <w:rPr>
          <w:spacing w:val="-2"/>
        </w:rPr>
        <w:t> </w:t>
      </w:r>
      <w:r>
        <w:rPr/>
        <w:t>monthly</w:t>
      </w:r>
      <w:r>
        <w:rPr>
          <w:spacing w:val="-2"/>
        </w:rPr>
        <w:t> </w:t>
      </w:r>
      <w:r>
        <w:rPr/>
        <w:t>pet</w:t>
      </w:r>
      <w:r>
        <w:rPr>
          <w:spacing w:val="-2"/>
        </w:rPr>
        <w:t> </w:t>
      </w:r>
      <w:r>
        <w:rPr/>
        <w:t>fees, storage, and concierge service fees.</w:t>
      </w:r>
    </w:p>
    <w:p>
      <w:pPr>
        <w:pStyle w:val="BodyText"/>
        <w:spacing w:before="56"/>
      </w:pPr>
    </w:p>
    <w:p>
      <w:pPr>
        <w:spacing w:before="0"/>
        <w:ind w:left="1008" w:right="0" w:firstLine="0"/>
        <w:jc w:val="both"/>
        <w:rPr>
          <w:i/>
          <w:sz w:val="22"/>
        </w:rPr>
      </w:pPr>
      <w:r>
        <w:rPr>
          <w:i/>
          <w:sz w:val="22"/>
        </w:rPr>
        <w:t>Additional</w:t>
      </w:r>
      <w:r>
        <w:rPr>
          <w:i/>
          <w:spacing w:val="-12"/>
          <w:sz w:val="22"/>
        </w:rPr>
        <w:t> </w:t>
      </w:r>
      <w:r>
        <w:rPr>
          <w:i/>
          <w:sz w:val="22"/>
        </w:rPr>
        <w:t>Bed</w:t>
      </w:r>
      <w:r>
        <w:rPr>
          <w:i/>
          <w:spacing w:val="-11"/>
          <w:sz w:val="22"/>
        </w:rPr>
        <w:t> </w:t>
      </w:r>
      <w:r>
        <w:rPr>
          <w:i/>
          <w:sz w:val="22"/>
        </w:rPr>
        <w:t>Lease</w:t>
      </w:r>
      <w:r>
        <w:rPr>
          <w:i/>
          <w:spacing w:val="-10"/>
          <w:sz w:val="22"/>
        </w:rPr>
        <w:t> </w:t>
      </w:r>
      <w:r>
        <w:rPr>
          <w:i/>
          <w:spacing w:val="-2"/>
          <w:sz w:val="22"/>
        </w:rPr>
        <w:t>Charges</w:t>
      </w:r>
    </w:p>
    <w:p>
      <w:pPr>
        <w:pStyle w:val="BodyText"/>
        <w:spacing w:line="288" w:lineRule="auto" w:before="51"/>
        <w:ind w:left="1008" w:right="1097"/>
        <w:jc w:val="both"/>
      </w:pPr>
      <w:r>
        <w:rPr/>
        <w:t>Similar</w:t>
      </w:r>
      <w:r>
        <w:rPr>
          <w:spacing w:val="-16"/>
        </w:rPr>
        <w:t> </w:t>
      </w:r>
      <w:r>
        <w:rPr/>
        <w:t>to</w:t>
      </w:r>
      <w:r>
        <w:rPr>
          <w:spacing w:val="-14"/>
        </w:rPr>
        <w:t> </w:t>
      </w:r>
      <w:r>
        <w:rPr/>
        <w:t>the</w:t>
      </w:r>
      <w:r>
        <w:rPr>
          <w:spacing w:val="-14"/>
        </w:rPr>
        <w:t> </w:t>
      </w:r>
      <w:r>
        <w:rPr/>
        <w:t>unit</w:t>
      </w:r>
      <w:r>
        <w:rPr>
          <w:spacing w:val="-13"/>
        </w:rPr>
        <w:t> </w:t>
      </w:r>
      <w:r>
        <w:rPr/>
        <w:t>lease</w:t>
      </w:r>
      <w:r>
        <w:rPr>
          <w:spacing w:val="-14"/>
        </w:rPr>
        <w:t> </w:t>
      </w:r>
      <w:r>
        <w:rPr/>
        <w:t>complexes,</w:t>
      </w:r>
      <w:r>
        <w:rPr>
          <w:spacing w:val="-14"/>
        </w:rPr>
        <w:t> </w:t>
      </w:r>
      <w:r>
        <w:rPr/>
        <w:t>bed</w:t>
      </w:r>
      <w:r>
        <w:rPr>
          <w:spacing w:val="-14"/>
        </w:rPr>
        <w:t> </w:t>
      </w:r>
      <w:r>
        <w:rPr/>
        <w:t>lease</w:t>
      </w:r>
      <w:r>
        <w:rPr>
          <w:spacing w:val="-13"/>
        </w:rPr>
        <w:t> </w:t>
      </w:r>
      <w:r>
        <w:rPr/>
        <w:t>complexes</w:t>
      </w:r>
      <w:r>
        <w:rPr>
          <w:spacing w:val="-14"/>
        </w:rPr>
        <w:t> </w:t>
      </w:r>
      <w:r>
        <w:rPr/>
        <w:t>most</w:t>
      </w:r>
      <w:r>
        <w:rPr>
          <w:spacing w:val="-14"/>
        </w:rPr>
        <w:t> </w:t>
      </w:r>
      <w:r>
        <w:rPr/>
        <w:t>commonly</w:t>
      </w:r>
      <w:r>
        <w:rPr>
          <w:spacing w:val="-14"/>
        </w:rPr>
        <w:t> </w:t>
      </w:r>
      <w:r>
        <w:rPr/>
        <w:t>reported</w:t>
      </w:r>
      <w:r>
        <w:rPr>
          <w:spacing w:val="-13"/>
        </w:rPr>
        <w:t> </w:t>
      </w:r>
      <w:r>
        <w:rPr/>
        <w:t>additional utility</w:t>
      </w:r>
      <w:r>
        <w:rPr>
          <w:spacing w:val="-9"/>
        </w:rPr>
        <w:t> </w:t>
      </w:r>
      <w:r>
        <w:rPr/>
        <w:t>usage</w:t>
      </w:r>
      <w:r>
        <w:rPr>
          <w:spacing w:val="-12"/>
        </w:rPr>
        <w:t> </w:t>
      </w:r>
      <w:r>
        <w:rPr/>
        <w:t>and</w:t>
      </w:r>
      <w:r>
        <w:rPr>
          <w:spacing w:val="-9"/>
        </w:rPr>
        <w:t> </w:t>
      </w:r>
      <w:r>
        <w:rPr/>
        <w:t>parking</w:t>
      </w:r>
      <w:r>
        <w:rPr>
          <w:spacing w:val="-9"/>
        </w:rPr>
        <w:t> </w:t>
      </w:r>
      <w:r>
        <w:rPr/>
        <w:t>charges.</w:t>
      </w:r>
      <w:r>
        <w:rPr>
          <w:spacing w:val="38"/>
        </w:rPr>
        <w:t> </w:t>
      </w:r>
      <w:r>
        <w:rPr/>
        <w:t>Of</w:t>
      </w:r>
      <w:r>
        <w:rPr>
          <w:spacing w:val="-11"/>
        </w:rPr>
        <w:t> </w:t>
      </w:r>
      <w:r>
        <w:rPr/>
        <w:t>the</w:t>
      </w:r>
      <w:r>
        <w:rPr>
          <w:spacing w:val="-7"/>
        </w:rPr>
        <w:t> </w:t>
      </w:r>
      <w:r>
        <w:rPr/>
        <w:t>17</w:t>
      </w:r>
      <w:r>
        <w:rPr>
          <w:spacing w:val="-9"/>
        </w:rPr>
        <w:t> </w:t>
      </w:r>
      <w:r>
        <w:rPr/>
        <w:t>bed</w:t>
      </w:r>
      <w:r>
        <w:rPr>
          <w:spacing w:val="-11"/>
        </w:rPr>
        <w:t> </w:t>
      </w:r>
      <w:r>
        <w:rPr/>
        <w:t>lease</w:t>
      </w:r>
      <w:r>
        <w:rPr>
          <w:spacing w:val="-9"/>
        </w:rPr>
        <w:t> </w:t>
      </w:r>
      <w:r>
        <w:rPr/>
        <w:t>complexes,</w:t>
      </w:r>
      <w:r>
        <w:rPr>
          <w:spacing w:val="-12"/>
        </w:rPr>
        <w:t> </w:t>
      </w:r>
      <w:r>
        <w:rPr/>
        <w:t>seven</w:t>
      </w:r>
      <w:r>
        <w:rPr>
          <w:spacing w:val="-11"/>
        </w:rPr>
        <w:t> </w:t>
      </w:r>
      <w:r>
        <w:rPr/>
        <w:t>complexes</w:t>
      </w:r>
      <w:r>
        <w:rPr>
          <w:spacing w:val="-9"/>
        </w:rPr>
        <w:t> </w:t>
      </w:r>
      <w:r>
        <w:rPr/>
        <w:t>charge</w:t>
      </w:r>
      <w:r>
        <w:rPr>
          <w:spacing w:val="-9"/>
        </w:rPr>
        <w:t> </w:t>
      </w:r>
      <w:r>
        <w:rPr/>
        <w:t>a flat</w:t>
      </w:r>
      <w:r>
        <w:rPr>
          <w:spacing w:val="-14"/>
        </w:rPr>
        <w:t> </w:t>
      </w:r>
      <w:r>
        <w:rPr/>
        <w:t>per</w:t>
      </w:r>
      <w:r>
        <w:rPr>
          <w:spacing w:val="-12"/>
        </w:rPr>
        <w:t> </w:t>
      </w:r>
      <w:r>
        <w:rPr/>
        <w:t>person</w:t>
      </w:r>
      <w:r>
        <w:rPr>
          <w:spacing w:val="-14"/>
        </w:rPr>
        <w:t> </w:t>
      </w:r>
      <w:r>
        <w:rPr/>
        <w:t>utility</w:t>
      </w:r>
      <w:r>
        <w:rPr>
          <w:spacing w:val="-12"/>
        </w:rPr>
        <w:t> </w:t>
      </w:r>
      <w:r>
        <w:rPr/>
        <w:t>fee,</w:t>
      </w:r>
      <w:r>
        <w:rPr>
          <w:spacing w:val="-11"/>
        </w:rPr>
        <w:t> </w:t>
      </w:r>
      <w:r>
        <w:rPr/>
        <w:t>ranging</w:t>
      </w:r>
      <w:r>
        <w:rPr>
          <w:spacing w:val="-13"/>
        </w:rPr>
        <w:t> </w:t>
      </w:r>
      <w:r>
        <w:rPr/>
        <w:t>from</w:t>
      </w:r>
      <w:r>
        <w:rPr>
          <w:spacing w:val="-12"/>
        </w:rPr>
        <w:t> </w:t>
      </w:r>
      <w:r>
        <w:rPr/>
        <w:t>ten</w:t>
      </w:r>
      <w:r>
        <w:rPr>
          <w:spacing w:val="-12"/>
        </w:rPr>
        <w:t> </w:t>
      </w:r>
      <w:r>
        <w:rPr/>
        <w:t>to</w:t>
      </w:r>
      <w:r>
        <w:rPr>
          <w:spacing w:val="-12"/>
        </w:rPr>
        <w:t> </w:t>
      </w:r>
      <w:r>
        <w:rPr/>
        <w:t>$55</w:t>
      </w:r>
      <w:r>
        <w:rPr>
          <w:spacing w:val="-12"/>
        </w:rPr>
        <w:t> </w:t>
      </w:r>
      <w:r>
        <w:rPr/>
        <w:t>per</w:t>
      </w:r>
      <w:r>
        <w:rPr>
          <w:spacing w:val="-13"/>
        </w:rPr>
        <w:t> </w:t>
      </w:r>
      <w:r>
        <w:rPr/>
        <w:t>person.</w:t>
      </w:r>
      <w:r>
        <w:rPr>
          <w:spacing w:val="32"/>
        </w:rPr>
        <w:t> </w:t>
      </w:r>
      <w:r>
        <w:rPr/>
        <w:t>Another</w:t>
      </w:r>
      <w:r>
        <w:rPr>
          <w:spacing w:val="-13"/>
        </w:rPr>
        <w:t> </w:t>
      </w:r>
      <w:r>
        <w:rPr/>
        <w:t>four</w:t>
      </w:r>
      <w:r>
        <w:rPr>
          <w:spacing w:val="-12"/>
        </w:rPr>
        <w:t> </w:t>
      </w:r>
      <w:r>
        <w:rPr/>
        <w:t>complexes</w:t>
      </w:r>
      <w:r>
        <w:rPr>
          <w:spacing w:val="-10"/>
        </w:rPr>
        <w:t> </w:t>
      </w:r>
      <w:r>
        <w:rPr>
          <w:spacing w:val="-2"/>
        </w:rPr>
        <w:t>charge</w:t>
      </w:r>
    </w:p>
    <w:p>
      <w:pPr>
        <w:pStyle w:val="BodyText"/>
        <w:spacing w:after="0" w:line="288" w:lineRule="auto"/>
        <w:jc w:val="both"/>
        <w:sectPr>
          <w:pgSz w:w="12240" w:h="15840"/>
          <w:pgMar w:header="0" w:footer="502" w:top="1700" w:bottom="700" w:left="720" w:right="720"/>
        </w:sectPr>
      </w:pPr>
    </w:p>
    <w:p>
      <w:pPr>
        <w:pStyle w:val="BodyText"/>
        <w:spacing w:line="288" w:lineRule="auto" w:before="78"/>
        <w:ind w:left="1008" w:right="1001"/>
      </w:pPr>
      <w:r>
        <w:rPr/>
        <w:t>for</w:t>
      </w:r>
      <w:r>
        <w:rPr>
          <w:spacing w:val="-2"/>
        </w:rPr>
        <w:t> </w:t>
      </w:r>
      <w:r>
        <w:rPr/>
        <w:t>utilities</w:t>
      </w:r>
      <w:r>
        <w:rPr>
          <w:spacing w:val="-4"/>
        </w:rPr>
        <w:t> </w:t>
      </w:r>
      <w:r>
        <w:rPr/>
        <w:t>on</w:t>
      </w:r>
      <w:r>
        <w:rPr>
          <w:spacing w:val="-4"/>
        </w:rPr>
        <w:t> </w:t>
      </w:r>
      <w:r>
        <w:rPr/>
        <w:t>a passthrough</w:t>
      </w:r>
      <w:r>
        <w:rPr>
          <w:spacing w:val="-2"/>
        </w:rPr>
        <w:t> </w:t>
      </w:r>
      <w:r>
        <w:rPr/>
        <w:t>basis</w:t>
      </w:r>
      <w:r>
        <w:rPr>
          <w:position w:val="5"/>
          <w:sz w:val="14"/>
        </w:rPr>
        <w:t>8</w:t>
      </w:r>
      <w:r>
        <w:rPr/>
        <w:t>.</w:t>
      </w:r>
      <w:r>
        <w:rPr>
          <w:spacing w:val="40"/>
        </w:rPr>
        <w:t> </w:t>
      </w:r>
      <w:r>
        <w:rPr/>
        <w:t>Among</w:t>
      </w:r>
      <w:r>
        <w:rPr>
          <w:spacing w:val="-2"/>
        </w:rPr>
        <w:t> </w:t>
      </w:r>
      <w:r>
        <w:rPr/>
        <w:t>complexes</w:t>
      </w:r>
      <w:r>
        <w:rPr>
          <w:spacing w:val="-2"/>
        </w:rPr>
        <w:t> </w:t>
      </w:r>
      <w:r>
        <w:rPr/>
        <w:t>that</w:t>
      </w:r>
      <w:r>
        <w:rPr>
          <w:spacing w:val="-3"/>
        </w:rPr>
        <w:t> </w:t>
      </w:r>
      <w:r>
        <w:rPr/>
        <w:t>charge</w:t>
      </w:r>
      <w:r>
        <w:rPr>
          <w:spacing w:val="-2"/>
        </w:rPr>
        <w:t> </w:t>
      </w:r>
      <w:r>
        <w:rPr/>
        <w:t>for</w:t>
      </w:r>
      <w:r>
        <w:rPr>
          <w:spacing w:val="-2"/>
        </w:rPr>
        <w:t> </w:t>
      </w:r>
      <w:r>
        <w:rPr/>
        <w:t>parking,</w:t>
      </w:r>
      <w:r>
        <w:rPr>
          <w:spacing w:val="-5"/>
        </w:rPr>
        <w:t> </w:t>
      </w:r>
      <w:r>
        <w:rPr/>
        <w:t>the</w:t>
      </w:r>
      <w:r>
        <w:rPr>
          <w:spacing w:val="-2"/>
        </w:rPr>
        <w:t> </w:t>
      </w:r>
      <w:r>
        <w:rPr/>
        <w:t>typical cost is</w:t>
      </w:r>
      <w:r>
        <w:rPr>
          <w:spacing w:val="-1"/>
        </w:rPr>
        <w:t> </w:t>
      </w:r>
      <w:r>
        <w:rPr/>
        <w:t>around $50 per month; though there is some slight variation between the amount charged</w:t>
      </w:r>
      <w:r>
        <w:rPr>
          <w:spacing w:val="-10"/>
        </w:rPr>
        <w:t> </w:t>
      </w:r>
      <w:r>
        <w:rPr/>
        <w:t>for</w:t>
      </w:r>
      <w:r>
        <w:rPr>
          <w:spacing w:val="-8"/>
        </w:rPr>
        <w:t> </w:t>
      </w:r>
      <w:r>
        <w:rPr/>
        <w:t>covered</w:t>
      </w:r>
      <w:r>
        <w:rPr>
          <w:spacing w:val="-8"/>
        </w:rPr>
        <w:t> </w:t>
      </w:r>
      <w:r>
        <w:rPr/>
        <w:t>versus</w:t>
      </w:r>
      <w:r>
        <w:rPr>
          <w:spacing w:val="-8"/>
        </w:rPr>
        <w:t> </w:t>
      </w:r>
      <w:r>
        <w:rPr/>
        <w:t>uncovered</w:t>
      </w:r>
      <w:r>
        <w:rPr>
          <w:spacing w:val="-8"/>
        </w:rPr>
        <w:t> </w:t>
      </w:r>
      <w:r>
        <w:rPr/>
        <w:t>spaces.</w:t>
      </w:r>
      <w:r>
        <w:rPr>
          <w:spacing w:val="40"/>
        </w:rPr>
        <w:t> </w:t>
      </w:r>
      <w:r>
        <w:rPr/>
        <w:t>Other</w:t>
      </w:r>
      <w:r>
        <w:rPr>
          <w:spacing w:val="-9"/>
        </w:rPr>
        <w:t> </w:t>
      </w:r>
      <w:r>
        <w:rPr/>
        <w:t>additional</w:t>
      </w:r>
      <w:r>
        <w:rPr>
          <w:spacing w:val="-8"/>
        </w:rPr>
        <w:t> </w:t>
      </w:r>
      <w:r>
        <w:rPr/>
        <w:t>charges</w:t>
      </w:r>
      <w:r>
        <w:rPr>
          <w:spacing w:val="-8"/>
        </w:rPr>
        <w:t> </w:t>
      </w:r>
      <w:r>
        <w:rPr/>
        <w:t>include</w:t>
      </w:r>
      <w:r>
        <w:rPr>
          <w:spacing w:val="-8"/>
        </w:rPr>
        <w:t> </w:t>
      </w:r>
      <w:r>
        <w:rPr/>
        <w:t>pet</w:t>
      </w:r>
      <w:r>
        <w:rPr>
          <w:spacing w:val="-9"/>
        </w:rPr>
        <w:t> </w:t>
      </w:r>
      <w:r>
        <w:rPr/>
        <w:t>rent</w:t>
      </w:r>
      <w:r>
        <w:rPr>
          <w:spacing w:val="-8"/>
        </w:rPr>
        <w:t> </w:t>
      </w:r>
      <w:r>
        <w:rPr/>
        <w:t>and furniture rentals, both ranging from $20 to $30 per month.</w:t>
      </w:r>
    </w:p>
    <w:p>
      <w:pPr>
        <w:pStyle w:val="BodyText"/>
        <w:spacing w:before="54"/>
      </w:pPr>
    </w:p>
    <w:p>
      <w:pPr>
        <w:spacing w:before="0"/>
        <w:ind w:left="1008" w:right="0" w:firstLine="0"/>
        <w:jc w:val="left"/>
        <w:rPr>
          <w:i/>
          <w:sz w:val="22"/>
        </w:rPr>
      </w:pPr>
      <w:r>
        <w:rPr>
          <w:i/>
          <w:sz w:val="22"/>
        </w:rPr>
        <w:t>Utilities,</w:t>
      </w:r>
      <w:r>
        <w:rPr>
          <w:i/>
          <w:spacing w:val="72"/>
          <w:sz w:val="22"/>
        </w:rPr>
        <w:t> </w:t>
      </w:r>
      <w:r>
        <w:rPr>
          <w:i/>
          <w:sz w:val="22"/>
        </w:rPr>
        <w:t>Appliances,</w:t>
      </w:r>
      <w:r>
        <w:rPr>
          <w:i/>
          <w:spacing w:val="73"/>
          <w:sz w:val="22"/>
        </w:rPr>
        <w:t> </w:t>
      </w:r>
      <w:r>
        <w:rPr>
          <w:i/>
          <w:sz w:val="22"/>
        </w:rPr>
        <w:t>and</w:t>
      </w:r>
      <w:r>
        <w:rPr>
          <w:i/>
          <w:spacing w:val="77"/>
          <w:sz w:val="22"/>
        </w:rPr>
        <w:t> </w:t>
      </w:r>
      <w:r>
        <w:rPr>
          <w:i/>
          <w:spacing w:val="-2"/>
          <w:sz w:val="22"/>
        </w:rPr>
        <w:t>Amenities</w:t>
      </w:r>
    </w:p>
    <w:p>
      <w:pPr>
        <w:pStyle w:val="BodyText"/>
        <w:spacing w:line="288" w:lineRule="auto" w:before="50"/>
        <w:ind w:left="1008" w:right="1001"/>
      </w:pPr>
      <w:r>
        <w:rPr/>
        <w:t>As in prior years, the 2021 survey included questions regarding the utilities,</w:t>
      </w:r>
      <w:r>
        <w:rPr>
          <w:spacing w:val="-4"/>
        </w:rPr>
        <w:t> </w:t>
      </w:r>
      <w:r>
        <w:rPr/>
        <w:t>appliances,</w:t>
      </w:r>
      <w:r>
        <w:rPr>
          <w:spacing w:val="-1"/>
        </w:rPr>
        <w:t> </w:t>
      </w:r>
      <w:r>
        <w:rPr/>
        <w:t>and amenities</w:t>
      </w:r>
      <w:r>
        <w:rPr>
          <w:spacing w:val="-5"/>
        </w:rPr>
        <w:t> </w:t>
      </w:r>
      <w:r>
        <w:rPr/>
        <w:t>that</w:t>
      </w:r>
      <w:r>
        <w:rPr>
          <w:spacing w:val="-5"/>
        </w:rPr>
        <w:t> </w:t>
      </w:r>
      <w:r>
        <w:rPr/>
        <w:t>are</w:t>
      </w:r>
      <w:r>
        <w:rPr>
          <w:spacing w:val="-5"/>
        </w:rPr>
        <w:t> </w:t>
      </w:r>
      <w:r>
        <w:rPr/>
        <w:t>provided</w:t>
      </w:r>
      <w:r>
        <w:rPr>
          <w:spacing w:val="-4"/>
        </w:rPr>
        <w:t> </w:t>
      </w:r>
      <w:r>
        <w:rPr/>
        <w:t>at</w:t>
      </w:r>
      <w:r>
        <w:rPr>
          <w:spacing w:val="-6"/>
        </w:rPr>
        <w:t> </w:t>
      </w:r>
      <w:r>
        <w:rPr/>
        <w:t>no</w:t>
      </w:r>
      <w:r>
        <w:rPr>
          <w:spacing w:val="-5"/>
        </w:rPr>
        <w:t> </w:t>
      </w:r>
      <w:r>
        <w:rPr/>
        <w:t>additional</w:t>
      </w:r>
      <w:r>
        <w:rPr>
          <w:spacing w:val="-5"/>
        </w:rPr>
        <w:t> </w:t>
      </w:r>
      <w:r>
        <w:rPr/>
        <w:t>charge</w:t>
      </w:r>
      <w:r>
        <w:rPr>
          <w:spacing w:val="-5"/>
        </w:rPr>
        <w:t> </w:t>
      </w:r>
      <w:r>
        <w:rPr/>
        <w:t>(i.e.,</w:t>
      </w:r>
      <w:r>
        <w:rPr>
          <w:spacing w:val="-5"/>
        </w:rPr>
        <w:t> </w:t>
      </w:r>
      <w:r>
        <w:rPr/>
        <w:t>included</w:t>
      </w:r>
      <w:r>
        <w:rPr>
          <w:spacing w:val="-5"/>
        </w:rPr>
        <w:t> </w:t>
      </w:r>
      <w:r>
        <w:rPr/>
        <w:t>in</w:t>
      </w:r>
      <w:r>
        <w:rPr>
          <w:spacing w:val="-5"/>
        </w:rPr>
        <w:t> </w:t>
      </w:r>
      <w:r>
        <w:rPr/>
        <w:t>the</w:t>
      </w:r>
      <w:r>
        <w:rPr>
          <w:spacing w:val="-5"/>
        </w:rPr>
        <w:t> </w:t>
      </w:r>
      <w:r>
        <w:rPr/>
        <w:t>monthly</w:t>
      </w:r>
      <w:r>
        <w:rPr>
          <w:spacing w:val="-6"/>
        </w:rPr>
        <w:t> </w:t>
      </w:r>
      <w:r>
        <w:rPr/>
        <w:t>rental</w:t>
      </w:r>
      <w:r>
        <w:rPr>
          <w:spacing w:val="-5"/>
        </w:rPr>
        <w:t> </w:t>
      </w:r>
      <w:r>
        <w:rPr/>
        <w:t>rate). As</w:t>
      </w:r>
      <w:r>
        <w:rPr>
          <w:spacing w:val="-9"/>
        </w:rPr>
        <w:t> </w:t>
      </w:r>
      <w:r>
        <w:rPr/>
        <w:t>shown</w:t>
      </w:r>
      <w:r>
        <w:rPr>
          <w:spacing w:val="-9"/>
        </w:rPr>
        <w:t> </w:t>
      </w:r>
      <w:r>
        <w:rPr/>
        <w:t>in</w:t>
      </w:r>
      <w:r>
        <w:rPr>
          <w:spacing w:val="-9"/>
        </w:rPr>
        <w:t> </w:t>
      </w:r>
      <w:r>
        <w:rPr/>
        <w:t>Figure</w:t>
      </w:r>
      <w:r>
        <w:rPr>
          <w:spacing w:val="-11"/>
        </w:rPr>
        <w:t> </w:t>
      </w:r>
      <w:r>
        <w:rPr/>
        <w:t>5,</w:t>
      </w:r>
      <w:r>
        <w:rPr>
          <w:spacing w:val="-9"/>
        </w:rPr>
        <w:t> </w:t>
      </w:r>
      <w:r>
        <w:rPr/>
        <w:t>an</w:t>
      </w:r>
      <w:r>
        <w:rPr>
          <w:spacing w:val="-9"/>
        </w:rPr>
        <w:t> </w:t>
      </w:r>
      <w:r>
        <w:rPr/>
        <w:t>average</w:t>
      </w:r>
      <w:r>
        <w:rPr>
          <w:spacing w:val="-9"/>
        </w:rPr>
        <w:t> </w:t>
      </w:r>
      <w:r>
        <w:rPr/>
        <w:t>of</w:t>
      </w:r>
      <w:r>
        <w:rPr>
          <w:spacing w:val="-9"/>
        </w:rPr>
        <w:t> </w:t>
      </w:r>
      <w:r>
        <w:rPr/>
        <w:t>60</w:t>
      </w:r>
      <w:r>
        <w:rPr>
          <w:spacing w:val="-9"/>
        </w:rPr>
        <w:t> </w:t>
      </w:r>
      <w:r>
        <w:rPr/>
        <w:t>to</w:t>
      </w:r>
      <w:r>
        <w:rPr>
          <w:spacing w:val="-11"/>
        </w:rPr>
        <w:t> </w:t>
      </w:r>
      <w:r>
        <w:rPr/>
        <w:t>72</w:t>
      </w:r>
      <w:r>
        <w:rPr>
          <w:spacing w:val="-9"/>
        </w:rPr>
        <w:t> </w:t>
      </w:r>
      <w:r>
        <w:rPr/>
        <w:t>percent</w:t>
      </w:r>
      <w:r>
        <w:rPr>
          <w:spacing w:val="-10"/>
        </w:rPr>
        <w:t> </w:t>
      </w:r>
      <w:r>
        <w:rPr/>
        <w:t>of</w:t>
      </w:r>
      <w:r>
        <w:rPr>
          <w:spacing w:val="-9"/>
        </w:rPr>
        <w:t> </w:t>
      </w:r>
      <w:r>
        <w:rPr/>
        <w:t>respondent</w:t>
      </w:r>
      <w:r>
        <w:rPr>
          <w:spacing w:val="-12"/>
        </w:rPr>
        <w:t> </w:t>
      </w:r>
      <w:r>
        <w:rPr/>
        <w:t>complexes</w:t>
      </w:r>
      <w:r>
        <w:rPr>
          <w:spacing w:val="-9"/>
        </w:rPr>
        <w:t> </w:t>
      </w:r>
      <w:r>
        <w:rPr/>
        <w:t>include</w:t>
      </w:r>
      <w:r>
        <w:rPr>
          <w:spacing w:val="-11"/>
        </w:rPr>
        <w:t> </w:t>
      </w:r>
      <w:r>
        <w:rPr/>
        <w:t>water, sewer,</w:t>
      </w:r>
      <w:r>
        <w:rPr>
          <w:spacing w:val="-6"/>
        </w:rPr>
        <w:t> </w:t>
      </w:r>
      <w:r>
        <w:rPr/>
        <w:t>and</w:t>
      </w:r>
      <w:r>
        <w:rPr>
          <w:spacing w:val="-3"/>
        </w:rPr>
        <w:t> </w:t>
      </w:r>
      <w:r>
        <w:rPr/>
        <w:t>trash</w:t>
      </w:r>
      <w:r>
        <w:rPr>
          <w:spacing w:val="-3"/>
        </w:rPr>
        <w:t> </w:t>
      </w:r>
      <w:r>
        <w:rPr/>
        <w:t>collection</w:t>
      </w:r>
      <w:r>
        <w:rPr>
          <w:spacing w:val="-2"/>
        </w:rPr>
        <w:t> </w:t>
      </w:r>
      <w:r>
        <w:rPr/>
        <w:t>in</w:t>
      </w:r>
      <w:r>
        <w:rPr>
          <w:spacing w:val="-3"/>
        </w:rPr>
        <w:t> </w:t>
      </w:r>
      <w:r>
        <w:rPr/>
        <w:t>rent.</w:t>
      </w:r>
      <w:r>
        <w:rPr>
          <w:spacing w:val="40"/>
        </w:rPr>
        <w:t> </w:t>
      </w:r>
      <w:r>
        <w:rPr/>
        <w:t>Approximately</w:t>
      </w:r>
      <w:r>
        <w:rPr>
          <w:spacing w:val="-6"/>
        </w:rPr>
        <w:t> </w:t>
      </w:r>
      <w:r>
        <w:rPr/>
        <w:t>65</w:t>
      </w:r>
      <w:r>
        <w:rPr>
          <w:spacing w:val="-3"/>
        </w:rPr>
        <w:t> </w:t>
      </w:r>
      <w:r>
        <w:rPr/>
        <w:t>percent</w:t>
      </w:r>
      <w:r>
        <w:rPr>
          <w:spacing w:val="-7"/>
        </w:rPr>
        <w:t> </w:t>
      </w:r>
      <w:r>
        <w:rPr/>
        <w:t>of</w:t>
      </w:r>
      <w:r>
        <w:rPr>
          <w:spacing w:val="-2"/>
        </w:rPr>
        <w:t> </w:t>
      </w:r>
      <w:r>
        <w:rPr/>
        <w:t>bed</w:t>
      </w:r>
      <w:r>
        <w:rPr>
          <w:spacing w:val="-2"/>
        </w:rPr>
        <w:t> </w:t>
      </w:r>
      <w:r>
        <w:rPr/>
        <w:t>lease</w:t>
      </w:r>
      <w:r>
        <w:rPr>
          <w:spacing w:val="-5"/>
        </w:rPr>
        <w:t> </w:t>
      </w:r>
      <w:r>
        <w:rPr/>
        <w:t>complexes</w:t>
      </w:r>
      <w:r>
        <w:rPr>
          <w:spacing w:val="-3"/>
        </w:rPr>
        <w:t> </w:t>
      </w:r>
      <w:r>
        <w:rPr/>
        <w:t>report also offering internet and Wi-Fi connectivity, as do 36 percent</w:t>
      </w:r>
      <w:r>
        <w:rPr>
          <w:spacing w:val="-2"/>
        </w:rPr>
        <w:t> </w:t>
      </w:r>
      <w:r>
        <w:rPr/>
        <w:t>of unit lease complexes.</w:t>
      </w:r>
    </w:p>
    <w:p>
      <w:pPr>
        <w:pStyle w:val="BodyText"/>
        <w:spacing w:before="19"/>
      </w:pPr>
    </w:p>
    <w:p>
      <w:pPr>
        <w:spacing w:before="0"/>
        <w:ind w:left="1008" w:right="0" w:firstLine="0"/>
        <w:jc w:val="left"/>
        <w:rPr>
          <w:i/>
          <w:sz w:val="22"/>
        </w:rPr>
      </w:pPr>
      <w:r>
        <w:rPr>
          <w:i/>
          <w:sz w:val="22"/>
        </w:rPr>
        <w:t>Figure</w:t>
      </w:r>
      <w:r>
        <w:rPr>
          <w:i/>
          <w:spacing w:val="-8"/>
          <w:sz w:val="22"/>
        </w:rPr>
        <w:t> </w:t>
      </w:r>
      <w:r>
        <w:rPr>
          <w:i/>
          <w:sz w:val="22"/>
        </w:rPr>
        <w:t>5:</w:t>
      </w:r>
      <w:r>
        <w:rPr>
          <w:i/>
          <w:spacing w:val="39"/>
          <w:sz w:val="22"/>
        </w:rPr>
        <w:t> </w:t>
      </w:r>
      <w:r>
        <w:rPr>
          <w:i/>
          <w:sz w:val="22"/>
        </w:rPr>
        <w:t>Percent</w:t>
      </w:r>
      <w:r>
        <w:rPr>
          <w:i/>
          <w:spacing w:val="-11"/>
          <w:sz w:val="22"/>
        </w:rPr>
        <w:t> </w:t>
      </w:r>
      <w:r>
        <w:rPr>
          <w:i/>
          <w:sz w:val="22"/>
        </w:rPr>
        <w:t>of</w:t>
      </w:r>
      <w:r>
        <w:rPr>
          <w:i/>
          <w:spacing w:val="-7"/>
          <w:sz w:val="22"/>
        </w:rPr>
        <w:t> </w:t>
      </w:r>
      <w:r>
        <w:rPr>
          <w:i/>
          <w:sz w:val="22"/>
        </w:rPr>
        <w:t>Respondents</w:t>
      </w:r>
      <w:r>
        <w:rPr>
          <w:i/>
          <w:spacing w:val="-9"/>
          <w:sz w:val="22"/>
        </w:rPr>
        <w:t> </w:t>
      </w:r>
      <w:r>
        <w:rPr>
          <w:i/>
          <w:sz w:val="22"/>
        </w:rPr>
        <w:t>Including</w:t>
      </w:r>
      <w:r>
        <w:rPr>
          <w:i/>
          <w:spacing w:val="-9"/>
          <w:sz w:val="22"/>
        </w:rPr>
        <w:t> </w:t>
      </w:r>
      <w:r>
        <w:rPr>
          <w:i/>
          <w:sz w:val="22"/>
        </w:rPr>
        <w:t>Utilities</w:t>
      </w:r>
      <w:r>
        <w:rPr>
          <w:i/>
          <w:spacing w:val="-8"/>
          <w:sz w:val="22"/>
        </w:rPr>
        <w:t> </w:t>
      </w:r>
      <w:r>
        <w:rPr>
          <w:i/>
          <w:sz w:val="22"/>
        </w:rPr>
        <w:t>in</w:t>
      </w:r>
      <w:r>
        <w:rPr>
          <w:i/>
          <w:spacing w:val="-9"/>
          <w:sz w:val="22"/>
        </w:rPr>
        <w:t> </w:t>
      </w:r>
      <w:r>
        <w:rPr>
          <w:i/>
          <w:sz w:val="22"/>
        </w:rPr>
        <w:t>Rent</w:t>
      </w:r>
      <w:r>
        <w:rPr>
          <w:i/>
          <w:spacing w:val="-8"/>
          <w:sz w:val="22"/>
        </w:rPr>
        <w:t> </w:t>
      </w:r>
      <w:r>
        <w:rPr>
          <w:i/>
          <w:sz w:val="22"/>
        </w:rPr>
        <w:t>by</w:t>
      </w:r>
      <w:r>
        <w:rPr>
          <w:i/>
          <w:spacing w:val="-8"/>
          <w:sz w:val="22"/>
        </w:rPr>
        <w:t> </w:t>
      </w:r>
      <w:r>
        <w:rPr>
          <w:i/>
          <w:sz w:val="22"/>
        </w:rPr>
        <w:t>Utility</w:t>
      </w:r>
      <w:r>
        <w:rPr>
          <w:i/>
          <w:spacing w:val="-8"/>
          <w:sz w:val="22"/>
        </w:rPr>
        <w:t> </w:t>
      </w:r>
      <w:r>
        <w:rPr>
          <w:i/>
          <w:sz w:val="22"/>
        </w:rPr>
        <w:t>Type</w:t>
      </w:r>
      <w:r>
        <w:rPr>
          <w:i/>
          <w:spacing w:val="-8"/>
          <w:sz w:val="22"/>
        </w:rPr>
        <w:t> </w:t>
      </w:r>
      <w:r>
        <w:rPr>
          <w:i/>
          <w:sz w:val="22"/>
        </w:rPr>
        <w:t>and</w:t>
      </w:r>
      <w:r>
        <w:rPr>
          <w:i/>
          <w:spacing w:val="-8"/>
          <w:sz w:val="22"/>
        </w:rPr>
        <w:t> </w:t>
      </w:r>
      <w:r>
        <w:rPr>
          <w:i/>
          <w:sz w:val="22"/>
        </w:rPr>
        <w:t>Lease</w:t>
      </w:r>
      <w:r>
        <w:rPr>
          <w:i/>
          <w:spacing w:val="-8"/>
          <w:sz w:val="22"/>
        </w:rPr>
        <w:t> </w:t>
      </w:r>
      <w:r>
        <w:rPr>
          <w:i/>
          <w:spacing w:val="-4"/>
          <w:sz w:val="22"/>
        </w:rPr>
        <w:t>Type</w:t>
      </w:r>
    </w:p>
    <w:p>
      <w:pPr>
        <w:pStyle w:val="BodyText"/>
        <w:spacing w:before="94"/>
        <w:rPr>
          <w:i/>
          <w:sz w:val="18"/>
        </w:rPr>
      </w:pPr>
    </w:p>
    <w:p>
      <w:pPr>
        <w:spacing w:before="0"/>
        <w:ind w:left="1420"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39904">
                <wp:simplePos x="0" y="0"/>
                <wp:positionH relativeFrom="page">
                  <wp:posOffset>1709912</wp:posOffset>
                </wp:positionH>
                <wp:positionV relativeFrom="paragraph">
                  <wp:posOffset>-28199</wp:posOffset>
                </wp:positionV>
                <wp:extent cx="4658360" cy="1468755"/>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4658360" cy="1468755"/>
                          <a:chExt cx="4658360" cy="1468755"/>
                        </a:xfrm>
                      </wpg:grpSpPr>
                      <pic:pic>
                        <pic:nvPicPr>
                          <pic:cNvPr id="82" name="Image 82"/>
                          <pic:cNvPicPr/>
                        </pic:nvPicPr>
                        <pic:blipFill>
                          <a:blip r:embed="rId45" cstate="print"/>
                          <a:stretch>
                            <a:fillRect/>
                          </a:stretch>
                        </pic:blipFill>
                        <pic:spPr>
                          <a:xfrm>
                            <a:off x="0" y="0"/>
                            <a:ext cx="4658162" cy="1468477"/>
                          </a:xfrm>
                          <a:prstGeom prst="rect">
                            <a:avLst/>
                          </a:prstGeom>
                        </pic:spPr>
                      </pic:pic>
                      <wps:wsp>
                        <wps:cNvPr id="83" name="Textbox 83"/>
                        <wps:cNvSpPr txBox="1"/>
                        <wps:spPr>
                          <a:xfrm>
                            <a:off x="162829" y="378910"/>
                            <a:ext cx="454659" cy="126364"/>
                          </a:xfrm>
                          <a:prstGeom prst="rect">
                            <a:avLst/>
                          </a:prstGeom>
                        </wps:spPr>
                        <wps:txbx>
                          <w:txbxContent>
                            <w:p>
                              <w:pPr>
                                <w:spacing w:line="199" w:lineRule="exact" w:before="0"/>
                                <w:ind w:left="0" w:right="0" w:firstLine="0"/>
                                <w:jc w:val="left"/>
                                <w:rPr>
                                  <w:rFonts w:ascii="Calibri"/>
                                  <w:sz w:val="18"/>
                                </w:rPr>
                              </w:pPr>
                              <w:r>
                                <w:rPr>
                                  <w:rFonts w:ascii="Calibri"/>
                                  <w:color w:val="404040"/>
                                  <w:position w:val="2"/>
                                  <w:sz w:val="18"/>
                                </w:rPr>
                                <w:t>65%</w:t>
                              </w:r>
                              <w:r>
                                <w:rPr>
                                  <w:rFonts w:ascii="Calibri"/>
                                  <w:color w:val="404040"/>
                                  <w:spacing w:val="29"/>
                                  <w:position w:val="2"/>
                                  <w:sz w:val="18"/>
                                </w:rPr>
                                <w:t> </w:t>
                              </w:r>
                              <w:r>
                                <w:rPr>
                                  <w:rFonts w:ascii="Calibri"/>
                                  <w:color w:val="404040"/>
                                  <w:spacing w:val="-5"/>
                                  <w:sz w:val="18"/>
                                </w:rPr>
                                <w:t>63%</w:t>
                              </w:r>
                            </w:p>
                          </w:txbxContent>
                        </wps:txbx>
                        <wps:bodyPr wrap="square" lIns="0" tIns="0" rIns="0" bIns="0" rtlCol="0">
                          <a:noAutofit/>
                        </wps:bodyPr>
                      </wps:wsp>
                      <wps:wsp>
                        <wps:cNvPr id="84" name="Textbox 84"/>
                        <wps:cNvSpPr txBox="1"/>
                        <wps:spPr>
                          <a:xfrm>
                            <a:off x="728741" y="29902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71%</w:t>
                              </w:r>
                            </w:p>
                          </w:txbxContent>
                        </wps:txbx>
                        <wps:bodyPr wrap="square" lIns="0" tIns="0" rIns="0" bIns="0" rtlCol="0">
                          <a:noAutofit/>
                        </wps:bodyPr>
                      </wps:wsp>
                      <wps:wsp>
                        <wps:cNvPr id="85" name="Textbox 85"/>
                        <wps:cNvSpPr txBox="1"/>
                        <wps:spPr>
                          <a:xfrm>
                            <a:off x="1295161" y="29902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71%</w:t>
                              </w:r>
                            </w:p>
                          </w:txbxContent>
                        </wps:txbx>
                        <wps:bodyPr wrap="square" lIns="0" tIns="0" rIns="0" bIns="0" rtlCol="0">
                          <a:noAutofit/>
                        </wps:bodyPr>
                      </wps:wsp>
                      <wps:wsp>
                        <wps:cNvPr id="86" name="Textbox 86"/>
                        <wps:cNvSpPr txBox="1"/>
                        <wps:spPr>
                          <a:xfrm>
                            <a:off x="951880" y="41701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62%</w:t>
                              </w:r>
                            </w:p>
                          </w:txbxContent>
                        </wps:txbx>
                        <wps:bodyPr wrap="square" lIns="0" tIns="0" rIns="0" bIns="0" rtlCol="0">
                          <a:noAutofit/>
                        </wps:bodyPr>
                      </wps:wsp>
                      <wps:wsp>
                        <wps:cNvPr id="87" name="Textbox 87"/>
                        <wps:cNvSpPr txBox="1"/>
                        <wps:spPr>
                          <a:xfrm>
                            <a:off x="1539255" y="33928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68%</w:t>
                              </w:r>
                            </w:p>
                          </w:txbxContent>
                        </wps:txbx>
                        <wps:bodyPr wrap="square" lIns="0" tIns="0" rIns="0" bIns="0" rtlCol="0">
                          <a:noAutofit/>
                        </wps:bodyPr>
                      </wps:wsp>
                      <wps:wsp>
                        <wps:cNvPr id="88" name="Textbox 88"/>
                        <wps:cNvSpPr txBox="1"/>
                        <wps:spPr>
                          <a:xfrm>
                            <a:off x="3559825" y="37891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65%</w:t>
                              </w:r>
                            </w:p>
                          </w:txbxContent>
                        </wps:txbx>
                        <wps:bodyPr wrap="square" lIns="0" tIns="0" rIns="0" bIns="0" rtlCol="0">
                          <a:noAutofit/>
                        </wps:bodyPr>
                      </wps:wsp>
                      <wps:wsp>
                        <wps:cNvPr id="89" name="Textbox 89"/>
                        <wps:cNvSpPr txBox="1"/>
                        <wps:spPr>
                          <a:xfrm>
                            <a:off x="3788044" y="76714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36%</w:t>
                              </w:r>
                            </w:p>
                          </w:txbxContent>
                        </wps:txbx>
                        <wps:bodyPr wrap="square" lIns="0" tIns="0" rIns="0" bIns="0" rtlCol="0">
                          <a:noAutofit/>
                        </wps:bodyPr>
                      </wps:wsp>
                      <wps:wsp>
                        <wps:cNvPr id="90" name="Textbox 90"/>
                        <wps:cNvSpPr txBox="1"/>
                        <wps:spPr>
                          <a:xfrm>
                            <a:off x="1861073" y="109976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12%</w:t>
                              </w:r>
                            </w:p>
                          </w:txbxContent>
                        </wps:txbx>
                        <wps:bodyPr wrap="square" lIns="0" tIns="0" rIns="0" bIns="0" rtlCol="0">
                          <a:noAutofit/>
                        </wps:bodyPr>
                      </wps:wsp>
                      <wps:wsp>
                        <wps:cNvPr id="91" name="Textbox 91"/>
                        <wps:cNvSpPr txBox="1"/>
                        <wps:spPr>
                          <a:xfrm>
                            <a:off x="2427493" y="109976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12%</w:t>
                              </w:r>
                            </w:p>
                          </w:txbxContent>
                        </wps:txbx>
                        <wps:bodyPr wrap="square" lIns="0" tIns="0" rIns="0" bIns="0" rtlCol="0">
                          <a:noAutofit/>
                        </wps:bodyPr>
                      </wps:wsp>
                      <wps:wsp>
                        <wps:cNvPr id="92" name="Textbox 92"/>
                        <wps:cNvSpPr txBox="1"/>
                        <wps:spPr>
                          <a:xfrm>
                            <a:off x="2993405" y="109976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12%</w:t>
                              </w:r>
                            </w:p>
                          </w:txbxContent>
                        </wps:txbx>
                        <wps:bodyPr wrap="square" lIns="0" tIns="0" rIns="0" bIns="0" rtlCol="0">
                          <a:noAutofit/>
                        </wps:bodyPr>
                      </wps:wsp>
                      <wps:wsp>
                        <wps:cNvPr id="93" name="Textbox 93"/>
                        <wps:cNvSpPr txBox="1"/>
                        <wps:spPr>
                          <a:xfrm>
                            <a:off x="2118629" y="1207966"/>
                            <a:ext cx="718820" cy="114300"/>
                          </a:xfrm>
                          <a:prstGeom prst="rect">
                            <a:avLst/>
                          </a:prstGeom>
                        </wps:spPr>
                        <wps:txbx>
                          <w:txbxContent>
                            <w:p>
                              <w:pPr>
                                <w:tabs>
                                  <w:tab w:pos="891" w:val="left" w:leader="none"/>
                                </w:tabs>
                                <w:spacing w:line="180" w:lineRule="exact" w:before="0"/>
                                <w:ind w:left="0" w:right="0" w:firstLine="0"/>
                                <w:jc w:val="left"/>
                                <w:rPr>
                                  <w:rFonts w:ascii="Calibri"/>
                                  <w:sz w:val="18"/>
                                </w:rPr>
                              </w:pPr>
                              <w:r>
                                <w:rPr>
                                  <w:rFonts w:ascii="Calibri"/>
                                  <w:color w:val="404040"/>
                                  <w:spacing w:val="-5"/>
                                  <w:sz w:val="18"/>
                                </w:rPr>
                                <w:t>4%</w:t>
                              </w:r>
                              <w:r>
                                <w:rPr>
                                  <w:rFonts w:ascii="Calibri"/>
                                  <w:color w:val="404040"/>
                                  <w:sz w:val="18"/>
                                </w:rPr>
                                <w:tab/>
                              </w:r>
                              <w:r>
                                <w:rPr>
                                  <w:rFonts w:ascii="Calibri"/>
                                  <w:color w:val="404040"/>
                                  <w:spacing w:val="-5"/>
                                  <w:sz w:val="18"/>
                                </w:rPr>
                                <w:t>4%</w:t>
                              </w:r>
                            </w:p>
                          </w:txbxContent>
                        </wps:txbx>
                        <wps:bodyPr wrap="square" lIns="0" tIns="0" rIns="0" bIns="0" rtlCol="0">
                          <a:noAutofit/>
                        </wps:bodyPr>
                      </wps:wsp>
                      <wps:wsp>
                        <wps:cNvPr id="94" name="Textbox 94"/>
                        <wps:cNvSpPr txBox="1"/>
                        <wps:spPr>
                          <a:xfrm>
                            <a:off x="3266582" y="1207966"/>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w:t>
                              </w:r>
                            </w:p>
                          </w:txbxContent>
                        </wps:txbx>
                        <wps:bodyPr wrap="square" lIns="0" tIns="0" rIns="0" bIns="0" rtlCol="0">
                          <a:noAutofit/>
                        </wps:bodyPr>
                      </wps:wsp>
                      <wps:wsp>
                        <wps:cNvPr id="95" name="Textbox 95"/>
                        <wps:cNvSpPr txBox="1"/>
                        <wps:spPr>
                          <a:xfrm>
                            <a:off x="4154693" y="1179899"/>
                            <a:ext cx="350520" cy="116839"/>
                          </a:xfrm>
                          <a:prstGeom prst="rect">
                            <a:avLst/>
                          </a:prstGeom>
                        </wps:spPr>
                        <wps:txbx>
                          <w:txbxContent>
                            <w:p>
                              <w:pPr>
                                <w:spacing w:line="183" w:lineRule="exact" w:before="0"/>
                                <w:ind w:left="0" w:right="0" w:firstLine="0"/>
                                <w:jc w:val="left"/>
                                <w:rPr>
                                  <w:rFonts w:ascii="Calibri"/>
                                  <w:sz w:val="18"/>
                                </w:rPr>
                              </w:pPr>
                              <w:r>
                                <w:rPr>
                                  <w:rFonts w:ascii="Calibri"/>
                                  <w:color w:val="404040"/>
                                  <w:sz w:val="18"/>
                                </w:rPr>
                                <w:t>6%</w:t>
                              </w:r>
                              <w:r>
                                <w:rPr>
                                  <w:rFonts w:ascii="Calibri"/>
                                  <w:color w:val="404040"/>
                                  <w:spacing w:val="48"/>
                                  <w:sz w:val="18"/>
                                </w:rPr>
                                <w:t> </w:t>
                              </w:r>
                              <w:r>
                                <w:rPr>
                                  <w:rFonts w:ascii="Calibri"/>
                                  <w:color w:val="404040"/>
                                  <w:spacing w:val="-5"/>
                                  <w:sz w:val="18"/>
                                </w:rPr>
                                <w:t>6%</w:t>
                              </w:r>
                            </w:p>
                          </w:txbxContent>
                        </wps:txbx>
                        <wps:bodyPr wrap="square" lIns="0" tIns="0" rIns="0" bIns="0" rtlCol="0">
                          <a:noAutofit/>
                        </wps:bodyPr>
                      </wps:wsp>
                    </wpg:wgp>
                  </a:graphicData>
                </a:graphic>
              </wp:anchor>
            </w:drawing>
          </mc:Choice>
          <mc:Fallback>
            <w:pict>
              <v:group style="position:absolute;margin-left:134.638779pt;margin-top:-2.220399pt;width:366.8pt;height:115.65pt;mso-position-horizontal-relative:page;mso-position-vertical-relative:paragraph;z-index:15739904" id="docshapegroup70" coordorigin="2693,-44" coordsize="7336,2313">
                <v:shape style="position:absolute;left:2692;top:-45;width:7336;height:2313" type="#_x0000_t75" id="docshape71" stroked="false">
                  <v:imagedata r:id="rId45" o:title=""/>
                </v:shape>
                <v:shape style="position:absolute;left:2949;top:552;width:716;height:199" type="#_x0000_t202" id="docshape72" filled="false" stroked="false">
                  <v:textbox inset="0,0,0,0">
                    <w:txbxContent>
                      <w:p>
                        <w:pPr>
                          <w:spacing w:line="199" w:lineRule="exact" w:before="0"/>
                          <w:ind w:left="0" w:right="0" w:firstLine="0"/>
                          <w:jc w:val="left"/>
                          <w:rPr>
                            <w:rFonts w:ascii="Calibri"/>
                            <w:sz w:val="18"/>
                          </w:rPr>
                        </w:pPr>
                        <w:r>
                          <w:rPr>
                            <w:rFonts w:ascii="Calibri"/>
                            <w:color w:val="404040"/>
                            <w:position w:val="2"/>
                            <w:sz w:val="18"/>
                          </w:rPr>
                          <w:t>65%</w:t>
                        </w:r>
                        <w:r>
                          <w:rPr>
                            <w:rFonts w:ascii="Calibri"/>
                            <w:color w:val="404040"/>
                            <w:spacing w:val="29"/>
                            <w:position w:val="2"/>
                            <w:sz w:val="18"/>
                          </w:rPr>
                          <w:t> </w:t>
                        </w:r>
                        <w:r>
                          <w:rPr>
                            <w:rFonts w:ascii="Calibri"/>
                            <w:color w:val="404040"/>
                            <w:spacing w:val="-5"/>
                            <w:sz w:val="18"/>
                          </w:rPr>
                          <w:t>63%</w:t>
                        </w:r>
                      </w:p>
                    </w:txbxContent>
                  </v:textbox>
                  <w10:wrap type="none"/>
                </v:shape>
                <v:shape style="position:absolute;left:3840;top:426;width:332;height:180" type="#_x0000_t202" id="docshape7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71%</w:t>
                        </w:r>
                      </w:p>
                    </w:txbxContent>
                  </v:textbox>
                  <w10:wrap type="none"/>
                </v:shape>
                <v:shape style="position:absolute;left:4732;top:426;width:332;height:180" type="#_x0000_t202" id="docshape7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71%</w:t>
                        </w:r>
                      </w:p>
                    </w:txbxContent>
                  </v:textbox>
                  <w10:wrap type="none"/>
                </v:shape>
                <v:shape style="position:absolute;left:4191;top:612;width:332;height:180" type="#_x0000_t202" id="docshape7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62%</w:t>
                        </w:r>
                      </w:p>
                    </w:txbxContent>
                  </v:textbox>
                  <w10:wrap type="none"/>
                </v:shape>
                <v:shape style="position:absolute;left:5116;top:489;width:332;height:180" type="#_x0000_t202" id="docshape7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68%</w:t>
                        </w:r>
                      </w:p>
                    </w:txbxContent>
                  </v:textbox>
                  <w10:wrap type="none"/>
                </v:shape>
                <v:shape style="position:absolute;left:8298;top:552;width:332;height:180" type="#_x0000_t202" id="docshape7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65%</w:t>
                        </w:r>
                      </w:p>
                    </w:txbxContent>
                  </v:textbox>
                  <w10:wrap type="none"/>
                </v:shape>
                <v:shape style="position:absolute;left:8658;top:1163;width:332;height:180" type="#_x0000_t202" id="docshape7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36%</w:t>
                        </w:r>
                      </w:p>
                    </w:txbxContent>
                  </v:textbox>
                  <w10:wrap type="none"/>
                </v:shape>
                <v:shape style="position:absolute;left:5623;top:1687;width:332;height:180" type="#_x0000_t202" id="docshape7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12%</w:t>
                        </w:r>
                      </w:p>
                    </w:txbxContent>
                  </v:textbox>
                  <w10:wrap type="none"/>
                </v:shape>
                <v:shape style="position:absolute;left:6515;top:1687;width:332;height:180" type="#_x0000_t202" id="docshape8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12%</w:t>
                        </w:r>
                      </w:p>
                    </w:txbxContent>
                  </v:textbox>
                  <w10:wrap type="none"/>
                </v:shape>
                <v:shape style="position:absolute;left:7406;top:1687;width:332;height:180" type="#_x0000_t202" id="docshape8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12%</w:t>
                        </w:r>
                      </w:p>
                    </w:txbxContent>
                  </v:textbox>
                  <w10:wrap type="none"/>
                </v:shape>
                <v:shape style="position:absolute;left:6029;top:1857;width:1132;height:180" type="#_x0000_t202" id="docshape82" filled="false" stroked="false">
                  <v:textbox inset="0,0,0,0">
                    <w:txbxContent>
                      <w:p>
                        <w:pPr>
                          <w:tabs>
                            <w:tab w:pos="891" w:val="left" w:leader="none"/>
                          </w:tabs>
                          <w:spacing w:line="180" w:lineRule="exact" w:before="0"/>
                          <w:ind w:left="0" w:right="0" w:firstLine="0"/>
                          <w:jc w:val="left"/>
                          <w:rPr>
                            <w:rFonts w:ascii="Calibri"/>
                            <w:sz w:val="18"/>
                          </w:rPr>
                        </w:pPr>
                        <w:r>
                          <w:rPr>
                            <w:rFonts w:ascii="Calibri"/>
                            <w:color w:val="404040"/>
                            <w:spacing w:val="-5"/>
                            <w:sz w:val="18"/>
                          </w:rPr>
                          <w:t>4%</w:t>
                        </w:r>
                        <w:r>
                          <w:rPr>
                            <w:rFonts w:ascii="Calibri"/>
                            <w:color w:val="404040"/>
                            <w:sz w:val="18"/>
                          </w:rPr>
                          <w:tab/>
                        </w:r>
                        <w:r>
                          <w:rPr>
                            <w:rFonts w:ascii="Calibri"/>
                            <w:color w:val="404040"/>
                            <w:spacing w:val="-5"/>
                            <w:sz w:val="18"/>
                          </w:rPr>
                          <w:t>4%</w:t>
                        </w:r>
                      </w:p>
                    </w:txbxContent>
                  </v:textbox>
                  <w10:wrap type="none"/>
                </v:shape>
                <v:shape style="position:absolute;left:7837;top:1857;width:240;height:180" type="#_x0000_t202" id="docshape8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w:t>
                        </w:r>
                      </w:p>
                    </w:txbxContent>
                  </v:textbox>
                  <w10:wrap type="none"/>
                </v:shape>
                <v:shape style="position:absolute;left:9235;top:1813;width:552;height:184" type="#_x0000_t202" id="docshape84" filled="false" stroked="false">
                  <v:textbox inset="0,0,0,0">
                    <w:txbxContent>
                      <w:p>
                        <w:pPr>
                          <w:spacing w:line="183" w:lineRule="exact" w:before="0"/>
                          <w:ind w:left="0" w:right="0" w:firstLine="0"/>
                          <w:jc w:val="left"/>
                          <w:rPr>
                            <w:rFonts w:ascii="Calibri"/>
                            <w:sz w:val="18"/>
                          </w:rPr>
                        </w:pPr>
                        <w:r>
                          <w:rPr>
                            <w:rFonts w:ascii="Calibri"/>
                            <w:color w:val="404040"/>
                            <w:sz w:val="18"/>
                          </w:rPr>
                          <w:t>6%</w:t>
                        </w:r>
                        <w:r>
                          <w:rPr>
                            <w:rFonts w:ascii="Calibri"/>
                            <w:color w:val="404040"/>
                            <w:spacing w:val="48"/>
                            <w:sz w:val="18"/>
                          </w:rPr>
                          <w:t> </w:t>
                        </w:r>
                        <w:r>
                          <w:rPr>
                            <w:rFonts w:ascii="Calibri"/>
                            <w:color w:val="404040"/>
                            <w:spacing w:val="-5"/>
                            <w:sz w:val="18"/>
                          </w:rPr>
                          <w:t>6%</w:t>
                        </w:r>
                      </w:p>
                    </w:txbxContent>
                  </v:textbox>
                  <w10:wrap type="none"/>
                </v:shape>
                <w10:wrap type="none"/>
              </v:group>
            </w:pict>
          </mc:Fallback>
        </mc:AlternateContent>
      </w:r>
      <w:r>
        <w:rPr>
          <w:rFonts w:ascii="Calibri"/>
          <w:color w:val="585858"/>
          <w:spacing w:val="-4"/>
          <w:sz w:val="18"/>
        </w:rPr>
        <w:t>100%</w:t>
      </w:r>
    </w:p>
    <w:p>
      <w:pPr>
        <w:spacing w:before="209"/>
        <w:ind w:left="1511" w:right="0" w:firstLine="0"/>
        <w:jc w:val="left"/>
        <w:rPr>
          <w:rFonts w:ascii="Calibri"/>
          <w:sz w:val="18"/>
        </w:rPr>
      </w:pPr>
      <w:r>
        <w:rPr>
          <w:rFonts w:ascii="Calibri"/>
          <w:color w:val="585858"/>
          <w:spacing w:val="-5"/>
          <w:sz w:val="18"/>
        </w:rPr>
        <w:t>80%</w:t>
      </w:r>
    </w:p>
    <w:p>
      <w:pPr>
        <w:spacing w:before="209"/>
        <w:ind w:left="1511" w:right="0" w:firstLine="0"/>
        <w:jc w:val="left"/>
        <w:rPr>
          <w:rFonts w:ascii="Calibri"/>
          <w:sz w:val="18"/>
        </w:rPr>
      </w:pPr>
      <w:r>
        <w:rPr>
          <w:rFonts w:ascii="Calibri"/>
          <w:color w:val="585858"/>
          <w:spacing w:val="-5"/>
          <w:sz w:val="18"/>
        </w:rPr>
        <w:t>60%</w:t>
      </w:r>
    </w:p>
    <w:p>
      <w:pPr>
        <w:spacing w:before="209"/>
        <w:ind w:left="1511" w:right="0" w:firstLine="0"/>
        <w:jc w:val="left"/>
        <w:rPr>
          <w:rFonts w:ascii="Calibri"/>
          <w:sz w:val="18"/>
        </w:rPr>
      </w:pPr>
      <w:r>
        <w:rPr>
          <w:rFonts w:ascii="Calibri"/>
          <w:color w:val="585858"/>
          <w:spacing w:val="-5"/>
          <w:sz w:val="18"/>
        </w:rPr>
        <w:t>40%</w:t>
      </w:r>
    </w:p>
    <w:p>
      <w:pPr>
        <w:spacing w:before="210"/>
        <w:ind w:left="1511" w:right="0" w:firstLine="0"/>
        <w:jc w:val="left"/>
        <w:rPr>
          <w:rFonts w:ascii="Calibri"/>
          <w:sz w:val="18"/>
        </w:rPr>
      </w:pPr>
      <w:r>
        <w:rPr>
          <w:rFonts w:ascii="Calibri"/>
          <w:color w:val="585858"/>
          <w:spacing w:val="-5"/>
          <w:sz w:val="18"/>
        </w:rPr>
        <w:t>20%</w:t>
      </w:r>
    </w:p>
    <w:p>
      <w:pPr>
        <w:spacing w:before="209"/>
        <w:ind w:left="1602" w:right="0" w:firstLine="0"/>
        <w:jc w:val="left"/>
        <w:rPr>
          <w:rFonts w:ascii="Calibri"/>
          <w:sz w:val="18"/>
        </w:rPr>
      </w:pPr>
      <w:r>
        <w:rPr>
          <w:rFonts w:ascii="Calibri"/>
          <w:sz w:val="18"/>
        </w:rPr>
        <w:drawing>
          <wp:anchor distT="0" distB="0" distL="0" distR="0" allowOverlap="1" layoutInCell="1" locked="0" behindDoc="1" simplePos="0" relativeHeight="487596032">
            <wp:simplePos x="0" y="0"/>
            <wp:positionH relativeFrom="page">
              <wp:posOffset>1776983</wp:posOffset>
            </wp:positionH>
            <wp:positionV relativeFrom="paragraph">
              <wp:posOffset>317162</wp:posOffset>
            </wp:positionV>
            <wp:extent cx="238208" cy="223837"/>
            <wp:effectExtent l="0" t="0" r="0" b="0"/>
            <wp:wrapTopAndBottom/>
            <wp:docPr id="96" name="Image 96"/>
            <wp:cNvGraphicFramePr>
              <a:graphicFrameLocks/>
            </wp:cNvGraphicFramePr>
            <a:graphic>
              <a:graphicData uri="http://schemas.openxmlformats.org/drawingml/2006/picture">
                <pic:pic>
                  <pic:nvPicPr>
                    <pic:cNvPr id="96" name="Image 96"/>
                    <pic:cNvPicPr/>
                  </pic:nvPicPr>
                  <pic:blipFill>
                    <a:blip r:embed="rId46" cstate="print"/>
                    <a:stretch>
                      <a:fillRect/>
                    </a:stretch>
                  </pic:blipFill>
                  <pic:spPr>
                    <a:xfrm>
                      <a:off x="0" y="0"/>
                      <a:ext cx="238208" cy="223837"/>
                    </a:xfrm>
                    <a:prstGeom prst="rect">
                      <a:avLst/>
                    </a:prstGeom>
                  </pic:spPr>
                </pic:pic>
              </a:graphicData>
            </a:graphic>
          </wp:anchor>
        </w:drawing>
      </w:r>
      <w:r>
        <w:rPr>
          <w:rFonts w:ascii="Calibri"/>
          <w:sz w:val="18"/>
        </w:rPr>
        <w:drawing>
          <wp:anchor distT="0" distB="0" distL="0" distR="0" allowOverlap="1" layoutInCell="1" locked="0" behindDoc="1" simplePos="0" relativeHeight="487596544">
            <wp:simplePos x="0" y="0"/>
            <wp:positionH relativeFrom="page">
              <wp:posOffset>2353436</wp:posOffset>
            </wp:positionH>
            <wp:positionV relativeFrom="paragraph">
              <wp:posOffset>317289</wp:posOffset>
            </wp:positionV>
            <wp:extent cx="1365980" cy="719137"/>
            <wp:effectExtent l="0" t="0" r="0" b="0"/>
            <wp:wrapTopAndBottom/>
            <wp:docPr id="97" name="Image 97"/>
            <wp:cNvGraphicFramePr>
              <a:graphicFrameLocks/>
            </wp:cNvGraphicFramePr>
            <a:graphic>
              <a:graphicData uri="http://schemas.openxmlformats.org/drawingml/2006/picture">
                <pic:pic>
                  <pic:nvPicPr>
                    <pic:cNvPr id="97" name="Image 97"/>
                    <pic:cNvPicPr/>
                  </pic:nvPicPr>
                  <pic:blipFill>
                    <a:blip r:embed="rId47" cstate="print"/>
                    <a:stretch>
                      <a:fillRect/>
                    </a:stretch>
                  </pic:blipFill>
                  <pic:spPr>
                    <a:xfrm>
                      <a:off x="0" y="0"/>
                      <a:ext cx="1365980" cy="719137"/>
                    </a:xfrm>
                    <a:prstGeom prst="rect">
                      <a:avLst/>
                    </a:prstGeom>
                  </pic:spPr>
                </pic:pic>
              </a:graphicData>
            </a:graphic>
          </wp:anchor>
        </w:drawing>
      </w:r>
      <w:r>
        <w:rPr>
          <w:rFonts w:ascii="Calibri"/>
          <w:sz w:val="18"/>
        </w:rPr>
        <w:drawing>
          <wp:anchor distT="0" distB="0" distL="0" distR="0" allowOverlap="1" layoutInCell="1" locked="0" behindDoc="1" simplePos="0" relativeHeight="487597056">
            <wp:simplePos x="0" y="0"/>
            <wp:positionH relativeFrom="page">
              <wp:posOffset>3929634</wp:posOffset>
            </wp:positionH>
            <wp:positionV relativeFrom="paragraph">
              <wp:posOffset>317162</wp:posOffset>
            </wp:positionV>
            <wp:extent cx="925796" cy="847725"/>
            <wp:effectExtent l="0" t="0" r="0" b="0"/>
            <wp:wrapTopAndBottom/>
            <wp:docPr id="98" name="Image 98"/>
            <wp:cNvGraphicFramePr>
              <a:graphicFrameLocks/>
            </wp:cNvGraphicFramePr>
            <a:graphic>
              <a:graphicData uri="http://schemas.openxmlformats.org/drawingml/2006/picture">
                <pic:pic>
                  <pic:nvPicPr>
                    <pic:cNvPr id="98" name="Image 98"/>
                    <pic:cNvPicPr/>
                  </pic:nvPicPr>
                  <pic:blipFill>
                    <a:blip r:embed="rId48" cstate="print"/>
                    <a:stretch>
                      <a:fillRect/>
                    </a:stretch>
                  </pic:blipFill>
                  <pic:spPr>
                    <a:xfrm>
                      <a:off x="0" y="0"/>
                      <a:ext cx="925796" cy="847725"/>
                    </a:xfrm>
                    <a:prstGeom prst="rect">
                      <a:avLst/>
                    </a:prstGeom>
                  </pic:spPr>
                </pic:pic>
              </a:graphicData>
            </a:graphic>
          </wp:anchor>
        </w:drawing>
      </w:r>
      <w:r>
        <w:rPr>
          <w:rFonts w:ascii="Calibri"/>
          <w:sz w:val="18"/>
        </w:rPr>
        <w:drawing>
          <wp:anchor distT="0" distB="0" distL="0" distR="0" allowOverlap="1" layoutInCell="1" locked="0" behindDoc="1" simplePos="0" relativeHeight="487597568">
            <wp:simplePos x="0" y="0"/>
            <wp:positionH relativeFrom="page">
              <wp:posOffset>4913629</wp:posOffset>
            </wp:positionH>
            <wp:positionV relativeFrom="paragraph">
              <wp:posOffset>306621</wp:posOffset>
            </wp:positionV>
            <wp:extent cx="508186" cy="509587"/>
            <wp:effectExtent l="0" t="0" r="0" b="0"/>
            <wp:wrapTopAndBottom/>
            <wp:docPr id="99" name="Image 99"/>
            <wp:cNvGraphicFramePr>
              <a:graphicFrameLocks/>
            </wp:cNvGraphicFramePr>
            <a:graphic>
              <a:graphicData uri="http://schemas.openxmlformats.org/drawingml/2006/picture">
                <pic:pic>
                  <pic:nvPicPr>
                    <pic:cNvPr id="99" name="Image 99"/>
                    <pic:cNvPicPr/>
                  </pic:nvPicPr>
                  <pic:blipFill>
                    <a:blip r:embed="rId49" cstate="print"/>
                    <a:stretch>
                      <a:fillRect/>
                    </a:stretch>
                  </pic:blipFill>
                  <pic:spPr>
                    <a:xfrm>
                      <a:off x="0" y="0"/>
                      <a:ext cx="508186" cy="509587"/>
                    </a:xfrm>
                    <a:prstGeom prst="rect">
                      <a:avLst/>
                    </a:prstGeom>
                  </pic:spPr>
                </pic:pic>
              </a:graphicData>
            </a:graphic>
          </wp:anchor>
        </w:drawing>
      </w:r>
      <w:r>
        <w:rPr>
          <w:rFonts w:ascii="Calibri"/>
          <w:sz w:val="18"/>
        </w:rPr>
        <w:drawing>
          <wp:anchor distT="0" distB="0" distL="0" distR="0" allowOverlap="1" layoutInCell="1" locked="0" behindDoc="1" simplePos="0" relativeHeight="487598080">
            <wp:simplePos x="0" y="0"/>
            <wp:positionH relativeFrom="page">
              <wp:posOffset>5766798</wp:posOffset>
            </wp:positionH>
            <wp:positionV relativeFrom="paragraph">
              <wp:posOffset>316400</wp:posOffset>
            </wp:positionV>
            <wp:extent cx="212351" cy="213740"/>
            <wp:effectExtent l="0" t="0" r="0" b="0"/>
            <wp:wrapTopAndBottom/>
            <wp:docPr id="100" name="Image 100"/>
            <wp:cNvGraphicFramePr>
              <a:graphicFrameLocks/>
            </wp:cNvGraphicFramePr>
            <a:graphic>
              <a:graphicData uri="http://schemas.openxmlformats.org/drawingml/2006/picture">
                <pic:pic>
                  <pic:nvPicPr>
                    <pic:cNvPr id="100" name="Image 100"/>
                    <pic:cNvPicPr/>
                  </pic:nvPicPr>
                  <pic:blipFill>
                    <a:blip r:embed="rId50" cstate="print"/>
                    <a:stretch>
                      <a:fillRect/>
                    </a:stretch>
                  </pic:blipFill>
                  <pic:spPr>
                    <a:xfrm>
                      <a:off x="0" y="0"/>
                      <a:ext cx="212351" cy="213740"/>
                    </a:xfrm>
                    <a:prstGeom prst="rect">
                      <a:avLst/>
                    </a:prstGeom>
                  </pic:spPr>
                </pic:pic>
              </a:graphicData>
            </a:graphic>
          </wp:anchor>
        </w:drawing>
      </w:r>
      <w:r>
        <w:rPr>
          <w:rFonts w:ascii="Calibri"/>
          <w:color w:val="585858"/>
          <w:spacing w:val="-5"/>
          <w:sz w:val="18"/>
        </w:rPr>
        <w:t>0%</w:t>
      </w:r>
    </w:p>
    <w:p>
      <w:pPr>
        <w:spacing w:before="189"/>
        <w:ind w:left="1899" w:right="1748" w:firstLine="0"/>
        <w:jc w:val="center"/>
        <w:rPr>
          <w:rFonts w:ascii="Calibri"/>
          <w:sz w:val="20"/>
        </w:rPr>
      </w:pPr>
      <w:r>
        <w:rPr/>
        <w:drawing>
          <wp:inline distT="0" distB="0" distL="0" distR="0">
            <wp:extent cx="69752" cy="69752"/>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51" cstate="print"/>
                    <a:stretch>
                      <a:fillRect/>
                    </a:stretch>
                  </pic:blipFill>
                  <pic:spPr>
                    <a:xfrm>
                      <a:off x="0" y="0"/>
                      <a:ext cx="69752" cy="69752"/>
                    </a:xfrm>
                    <a:prstGeom prst="rect">
                      <a:avLst/>
                    </a:prstGeom>
                  </pic:spPr>
                </pic:pic>
              </a:graphicData>
            </a:graphic>
          </wp:inline>
        </w:drawing>
      </w:r>
      <w:r>
        <w:rPr/>
      </w:r>
      <w:r>
        <w:rPr>
          <w:rFonts w:ascii="Times New Roman"/>
          <w:spacing w:val="-3"/>
          <w:sz w:val="20"/>
        </w:rPr>
        <w:t> </w:t>
      </w:r>
      <w:r>
        <w:rPr>
          <w:rFonts w:ascii="Calibri"/>
          <w:color w:val="585858"/>
          <w:sz w:val="20"/>
        </w:rPr>
        <w:t>Bed</w:t>
      </w:r>
      <w:r>
        <w:rPr>
          <w:rFonts w:ascii="Calibri"/>
          <w:color w:val="585858"/>
          <w:spacing w:val="-3"/>
          <w:sz w:val="20"/>
        </w:rPr>
        <w:t> </w:t>
      </w:r>
      <w:r>
        <w:rPr>
          <w:rFonts w:ascii="Calibri"/>
          <w:color w:val="585858"/>
          <w:sz w:val="20"/>
        </w:rPr>
        <w:t>Leases</w:t>
      </w:r>
      <w:r>
        <w:rPr>
          <w:rFonts w:ascii="Calibri"/>
          <w:color w:val="585858"/>
          <w:spacing w:val="74"/>
          <w:sz w:val="20"/>
        </w:rPr>
        <w:t> </w:t>
      </w:r>
      <w:r>
        <w:rPr>
          <w:rFonts w:ascii="Calibri"/>
          <w:color w:val="585858"/>
          <w:spacing w:val="-14"/>
          <w:sz w:val="20"/>
        </w:rPr>
        <w:drawing>
          <wp:inline distT="0" distB="0" distL="0" distR="0">
            <wp:extent cx="69752" cy="69752"/>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52" cstate="print"/>
                    <a:stretch>
                      <a:fillRect/>
                    </a:stretch>
                  </pic:blipFill>
                  <pic:spPr>
                    <a:xfrm>
                      <a:off x="0" y="0"/>
                      <a:ext cx="69752" cy="69752"/>
                    </a:xfrm>
                    <a:prstGeom prst="rect">
                      <a:avLst/>
                    </a:prstGeom>
                  </pic:spPr>
                </pic:pic>
              </a:graphicData>
            </a:graphic>
          </wp:inline>
        </w:drawing>
      </w:r>
      <w:r>
        <w:rPr>
          <w:rFonts w:ascii="Calibri"/>
          <w:color w:val="585858"/>
          <w:spacing w:val="-14"/>
          <w:sz w:val="20"/>
        </w:rPr>
      </w:r>
      <w:r>
        <w:rPr>
          <w:rFonts w:ascii="Times New Roman"/>
          <w:color w:val="585858"/>
          <w:spacing w:val="11"/>
          <w:sz w:val="20"/>
        </w:rPr>
        <w:t> </w:t>
      </w:r>
      <w:r>
        <w:rPr>
          <w:rFonts w:ascii="Calibri"/>
          <w:color w:val="585858"/>
          <w:sz w:val="20"/>
        </w:rPr>
        <w:t>Unit</w:t>
      </w:r>
      <w:r>
        <w:rPr>
          <w:rFonts w:ascii="Calibri"/>
          <w:color w:val="585858"/>
          <w:spacing w:val="-1"/>
          <w:sz w:val="20"/>
        </w:rPr>
        <w:t> </w:t>
      </w:r>
      <w:r>
        <w:rPr>
          <w:rFonts w:ascii="Calibri"/>
          <w:color w:val="585858"/>
          <w:sz w:val="20"/>
        </w:rPr>
        <w:t>Leases</w:t>
      </w:r>
    </w:p>
    <w:p>
      <w:pPr>
        <w:spacing w:before="6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3"/>
          <w:sz w:val="16"/>
        </w:rPr>
        <w:t> </w:t>
      </w:r>
      <w:r>
        <w:rPr>
          <w:rFonts w:ascii="Arial MT"/>
          <w:spacing w:val="-2"/>
          <w:sz w:val="16"/>
        </w:rPr>
        <w:t>2021.</w:t>
      </w:r>
    </w:p>
    <w:p>
      <w:pPr>
        <w:pStyle w:val="BodyText"/>
        <w:spacing w:before="61"/>
        <w:rPr>
          <w:rFonts w:ascii="Arial MT"/>
        </w:rPr>
      </w:pPr>
    </w:p>
    <w:p>
      <w:pPr>
        <w:pStyle w:val="BodyText"/>
        <w:spacing w:line="288" w:lineRule="auto"/>
        <w:ind w:left="1008" w:right="1117"/>
      </w:pPr>
      <w:r>
        <w:rPr/>
        <w:t>Figure 6 illustrates the types of appliances</w:t>
      </w:r>
      <w:r>
        <w:rPr>
          <w:spacing w:val="-2"/>
        </w:rPr>
        <w:t> </w:t>
      </w:r>
      <w:r>
        <w:rPr/>
        <w:t>and other</w:t>
      </w:r>
      <w:r>
        <w:rPr>
          <w:spacing w:val="-1"/>
        </w:rPr>
        <w:t> </w:t>
      </w:r>
      <w:r>
        <w:rPr/>
        <w:t>amenities that</w:t>
      </w:r>
      <w:r>
        <w:rPr>
          <w:spacing w:val="-1"/>
        </w:rPr>
        <w:t> </w:t>
      </w:r>
      <w:r>
        <w:rPr/>
        <w:t>are provided.</w:t>
      </w:r>
      <w:r>
        <w:rPr>
          <w:spacing w:val="40"/>
        </w:rPr>
        <w:t> </w:t>
      </w:r>
      <w:r>
        <w:rPr/>
        <w:t>All respondent</w:t>
      </w:r>
      <w:r>
        <w:rPr>
          <w:spacing w:val="-4"/>
        </w:rPr>
        <w:t> </w:t>
      </w:r>
      <w:r>
        <w:rPr/>
        <w:t>complexes</w:t>
      </w:r>
      <w:r>
        <w:rPr>
          <w:spacing w:val="-1"/>
        </w:rPr>
        <w:t> </w:t>
      </w:r>
      <w:r>
        <w:rPr/>
        <w:t>include</w:t>
      </w:r>
      <w:r>
        <w:rPr>
          <w:spacing w:val="-3"/>
        </w:rPr>
        <w:t> </w:t>
      </w:r>
      <w:r>
        <w:rPr/>
        <w:t>a</w:t>
      </w:r>
      <w:r>
        <w:rPr>
          <w:spacing w:val="-1"/>
        </w:rPr>
        <w:t> </w:t>
      </w:r>
      <w:r>
        <w:rPr/>
        <w:t>refrigerator and</w:t>
      </w:r>
      <w:r>
        <w:rPr>
          <w:spacing w:val="-2"/>
        </w:rPr>
        <w:t> </w:t>
      </w:r>
      <w:r>
        <w:rPr/>
        <w:t>stove/oven,</w:t>
      </w:r>
      <w:r>
        <w:rPr>
          <w:spacing w:val="-1"/>
        </w:rPr>
        <w:t> </w:t>
      </w:r>
      <w:r>
        <w:rPr/>
        <w:t>while</w:t>
      </w:r>
      <w:r>
        <w:rPr>
          <w:spacing w:val="-1"/>
        </w:rPr>
        <w:t> </w:t>
      </w:r>
      <w:r>
        <w:rPr/>
        <w:t>nearly</w:t>
      </w:r>
      <w:r>
        <w:rPr>
          <w:spacing w:val="-2"/>
        </w:rPr>
        <w:t> </w:t>
      </w:r>
      <w:r>
        <w:rPr/>
        <w:t>all</w:t>
      </w:r>
      <w:r>
        <w:rPr>
          <w:spacing w:val="-2"/>
        </w:rPr>
        <w:t> </w:t>
      </w:r>
      <w:r>
        <w:rPr/>
        <w:t>included</w:t>
      </w:r>
      <w:r>
        <w:rPr>
          <w:spacing w:val="-3"/>
        </w:rPr>
        <w:t> </w:t>
      </w:r>
      <w:r>
        <w:rPr/>
        <w:t>an</w:t>
      </w:r>
      <w:r>
        <w:rPr>
          <w:spacing w:val="-3"/>
        </w:rPr>
        <w:t> </w:t>
      </w:r>
      <w:r>
        <w:rPr/>
        <w:t>air conditioning</w:t>
      </w:r>
      <w:r>
        <w:rPr>
          <w:spacing w:val="-1"/>
        </w:rPr>
        <w:t> </w:t>
      </w:r>
      <w:r>
        <w:rPr/>
        <w:t>unit at</w:t>
      </w:r>
      <w:r>
        <w:rPr>
          <w:spacing w:val="-1"/>
        </w:rPr>
        <w:t> </w:t>
      </w:r>
      <w:r>
        <w:rPr/>
        <w:t>no extra charge.</w:t>
      </w:r>
      <w:r>
        <w:rPr>
          <w:spacing w:val="40"/>
        </w:rPr>
        <w:t> </w:t>
      </w:r>
      <w:r>
        <w:rPr/>
        <w:t>All bed</w:t>
      </w:r>
      <w:r>
        <w:rPr>
          <w:spacing w:val="-1"/>
        </w:rPr>
        <w:t> </w:t>
      </w:r>
      <w:r>
        <w:rPr/>
        <w:t>lease properties and 70 percent</w:t>
      </w:r>
      <w:r>
        <w:rPr>
          <w:spacing w:val="-1"/>
        </w:rPr>
        <w:t> </w:t>
      </w:r>
      <w:r>
        <w:rPr/>
        <w:t>of unit lease properties include a</w:t>
      </w:r>
      <w:r>
        <w:rPr>
          <w:spacing w:val="-1"/>
        </w:rPr>
        <w:t> </w:t>
      </w:r>
      <w:r>
        <w:rPr/>
        <w:t>dishwasher, while</w:t>
      </w:r>
      <w:r>
        <w:rPr>
          <w:spacing w:val="-1"/>
        </w:rPr>
        <w:t> </w:t>
      </w:r>
      <w:r>
        <w:rPr/>
        <w:t>94 percent of</w:t>
      </w:r>
      <w:r>
        <w:rPr>
          <w:spacing w:val="-1"/>
        </w:rPr>
        <w:t> </w:t>
      </w:r>
      <w:r>
        <w:rPr/>
        <w:t>bed lease properties</w:t>
      </w:r>
      <w:r>
        <w:rPr>
          <w:spacing w:val="-1"/>
        </w:rPr>
        <w:t> </w:t>
      </w:r>
      <w:r>
        <w:rPr/>
        <w:t>and</w:t>
      </w:r>
      <w:r>
        <w:rPr>
          <w:spacing w:val="-1"/>
        </w:rPr>
        <w:t> </w:t>
      </w:r>
      <w:r>
        <w:rPr/>
        <w:t>57 percent of unit</w:t>
      </w:r>
      <w:r>
        <w:rPr>
          <w:spacing w:val="-11"/>
        </w:rPr>
        <w:t> </w:t>
      </w:r>
      <w:r>
        <w:rPr/>
        <w:t>lease</w:t>
      </w:r>
      <w:r>
        <w:rPr>
          <w:spacing w:val="-11"/>
        </w:rPr>
        <w:t> </w:t>
      </w:r>
      <w:r>
        <w:rPr/>
        <w:t>properties</w:t>
      </w:r>
      <w:r>
        <w:rPr>
          <w:spacing w:val="-11"/>
        </w:rPr>
        <w:t> </w:t>
      </w:r>
      <w:r>
        <w:rPr/>
        <w:t>include</w:t>
      </w:r>
      <w:r>
        <w:rPr>
          <w:spacing w:val="-12"/>
        </w:rPr>
        <w:t> </w:t>
      </w:r>
      <w:r>
        <w:rPr/>
        <w:t>a</w:t>
      </w:r>
      <w:r>
        <w:rPr>
          <w:spacing w:val="-11"/>
        </w:rPr>
        <w:t> </w:t>
      </w:r>
      <w:r>
        <w:rPr/>
        <w:t>microwave.</w:t>
      </w:r>
      <w:r>
        <w:rPr>
          <w:spacing w:val="33"/>
        </w:rPr>
        <w:t> </w:t>
      </w:r>
      <w:r>
        <w:rPr/>
        <w:t>Nearly</w:t>
      </w:r>
      <w:r>
        <w:rPr>
          <w:spacing w:val="-11"/>
        </w:rPr>
        <w:t> </w:t>
      </w:r>
      <w:r>
        <w:rPr/>
        <w:t>60</w:t>
      </w:r>
      <w:r>
        <w:rPr>
          <w:spacing w:val="-11"/>
        </w:rPr>
        <w:t> </w:t>
      </w:r>
      <w:r>
        <w:rPr/>
        <w:t>percent</w:t>
      </w:r>
      <w:r>
        <w:rPr>
          <w:spacing w:val="-14"/>
        </w:rPr>
        <w:t> </w:t>
      </w:r>
      <w:r>
        <w:rPr/>
        <w:t>of</w:t>
      </w:r>
      <w:r>
        <w:rPr>
          <w:spacing w:val="-10"/>
        </w:rPr>
        <w:t> </w:t>
      </w:r>
      <w:r>
        <w:rPr/>
        <w:t>bed</w:t>
      </w:r>
      <w:r>
        <w:rPr>
          <w:spacing w:val="-11"/>
        </w:rPr>
        <w:t> </w:t>
      </w:r>
      <w:r>
        <w:rPr/>
        <w:t>lease</w:t>
      </w:r>
      <w:r>
        <w:rPr>
          <w:spacing w:val="-12"/>
        </w:rPr>
        <w:t> </w:t>
      </w:r>
      <w:r>
        <w:rPr/>
        <w:t>complexes</w:t>
      </w:r>
      <w:r>
        <w:rPr>
          <w:spacing w:val="-11"/>
        </w:rPr>
        <w:t> </w:t>
      </w:r>
      <w:r>
        <w:rPr/>
        <w:t>provide in-unit</w:t>
      </w:r>
      <w:r>
        <w:rPr>
          <w:spacing w:val="-1"/>
        </w:rPr>
        <w:t> </w:t>
      </w:r>
      <w:r>
        <w:rPr/>
        <w:t>laundry</w:t>
      </w:r>
      <w:r>
        <w:rPr>
          <w:spacing w:val="-1"/>
        </w:rPr>
        <w:t> </w:t>
      </w:r>
      <w:r>
        <w:rPr/>
        <w:t>facilities,</w:t>
      </w:r>
      <w:r>
        <w:rPr>
          <w:spacing w:val="-1"/>
        </w:rPr>
        <w:t> </w:t>
      </w:r>
      <w:r>
        <w:rPr/>
        <w:t>while</w:t>
      </w:r>
      <w:r>
        <w:rPr>
          <w:spacing w:val="-1"/>
        </w:rPr>
        <w:t> </w:t>
      </w:r>
      <w:r>
        <w:rPr/>
        <w:t>only</w:t>
      </w:r>
      <w:r>
        <w:rPr>
          <w:spacing w:val="-4"/>
        </w:rPr>
        <w:t> </w:t>
      </w:r>
      <w:r>
        <w:rPr/>
        <w:t>20</w:t>
      </w:r>
      <w:r>
        <w:rPr>
          <w:spacing w:val="-1"/>
        </w:rPr>
        <w:t> </w:t>
      </w:r>
      <w:r>
        <w:rPr/>
        <w:t>percent</w:t>
      </w:r>
      <w:r>
        <w:rPr>
          <w:spacing w:val="-1"/>
        </w:rPr>
        <w:t> </w:t>
      </w:r>
      <w:r>
        <w:rPr/>
        <w:t>of</w:t>
      </w:r>
      <w:r>
        <w:rPr>
          <w:spacing w:val="-1"/>
        </w:rPr>
        <w:t> </w:t>
      </w:r>
      <w:r>
        <w:rPr/>
        <w:t>unit</w:t>
      </w:r>
      <w:r>
        <w:rPr>
          <w:spacing w:val="-2"/>
        </w:rPr>
        <w:t> </w:t>
      </w:r>
      <w:r>
        <w:rPr/>
        <w:t>lease</w:t>
      </w:r>
      <w:r>
        <w:rPr>
          <w:spacing w:val="-3"/>
        </w:rPr>
        <w:t> </w:t>
      </w:r>
      <w:r>
        <w:rPr/>
        <w:t>complexes</w:t>
      </w:r>
      <w:r>
        <w:rPr>
          <w:spacing w:val="-1"/>
        </w:rPr>
        <w:t> </w:t>
      </w:r>
      <w:r>
        <w:rPr/>
        <w:t>provide</w:t>
      </w:r>
      <w:r>
        <w:rPr>
          <w:spacing w:val="-3"/>
        </w:rPr>
        <w:t> </w:t>
      </w:r>
      <w:r>
        <w:rPr/>
        <w:t>this</w:t>
      </w:r>
      <w:r>
        <w:rPr>
          <w:spacing w:val="-1"/>
        </w:rPr>
        <w:t> </w:t>
      </w:r>
      <w:r>
        <w:rPr/>
        <w:t>facility</w:t>
      </w:r>
      <w:r>
        <w:rPr>
          <w:spacing w:val="-1"/>
        </w:rPr>
        <w:t> </w:t>
      </w:r>
      <w:r>
        <w:rPr/>
        <w:t>in the unit.</w:t>
      </w:r>
    </w:p>
    <w:p>
      <w:pPr>
        <w:pStyle w:val="BodyText"/>
        <w:spacing w:before="6"/>
        <w:rPr>
          <w:sz w:val="15"/>
        </w:rPr>
      </w:pPr>
      <w:r>
        <w:rPr>
          <w:sz w:val="15"/>
        </w:rPr>
        <mc:AlternateContent>
          <mc:Choice Requires="wps">
            <w:drawing>
              <wp:anchor distT="0" distB="0" distL="0" distR="0" allowOverlap="1" layoutInCell="1" locked="0" behindDoc="1" simplePos="0" relativeHeight="487598592">
                <wp:simplePos x="0" y="0"/>
                <wp:positionH relativeFrom="page">
                  <wp:posOffset>1097584</wp:posOffset>
                </wp:positionH>
                <wp:positionV relativeFrom="paragraph">
                  <wp:posOffset>127287</wp:posOffset>
                </wp:positionV>
                <wp:extent cx="1829435" cy="762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6.424004pt;margin-top:10.022675pt;width:144.020pt;height:.60004pt;mso-position-horizontal-relative:page;mso-position-vertical-relative:paragraph;z-index:-15717888;mso-wrap-distance-left:0;mso-wrap-distance-right:0" id="docshape85" filled="true" fillcolor="#000000" stroked="false">
                <v:fill type="solid"/>
                <w10:wrap type="topAndBottom"/>
              </v:rect>
            </w:pict>
          </mc:Fallback>
        </mc:AlternateContent>
      </w:r>
    </w:p>
    <w:p>
      <w:pPr>
        <w:pStyle w:val="BodyText"/>
        <w:rPr>
          <w:sz w:val="20"/>
        </w:rPr>
      </w:pPr>
    </w:p>
    <w:p>
      <w:pPr>
        <w:pStyle w:val="BodyText"/>
        <w:spacing w:before="13"/>
        <w:rPr>
          <w:sz w:val="20"/>
        </w:rPr>
      </w:pPr>
    </w:p>
    <w:p>
      <w:pPr>
        <w:spacing w:line="316" w:lineRule="auto" w:before="0"/>
        <w:ind w:left="1008" w:right="1168" w:firstLine="0"/>
        <w:jc w:val="left"/>
        <w:rPr>
          <w:sz w:val="20"/>
        </w:rPr>
      </w:pPr>
      <w:r>
        <w:rPr>
          <w:position w:val="5"/>
          <w:sz w:val="13"/>
        </w:rPr>
        <w:t>8</w:t>
      </w:r>
      <w:r>
        <w:rPr>
          <w:spacing w:val="3"/>
          <w:position w:val="5"/>
          <w:sz w:val="13"/>
        </w:rPr>
        <w:t> </w:t>
      </w:r>
      <w:r>
        <w:rPr>
          <w:sz w:val="20"/>
        </w:rPr>
        <w:t>Properties</w:t>
      </w:r>
      <w:r>
        <w:rPr>
          <w:spacing w:val="-11"/>
          <w:sz w:val="20"/>
        </w:rPr>
        <w:t> </w:t>
      </w:r>
      <w:r>
        <w:rPr>
          <w:sz w:val="20"/>
        </w:rPr>
        <w:t>that</w:t>
      </w:r>
      <w:r>
        <w:rPr>
          <w:spacing w:val="-12"/>
          <w:sz w:val="20"/>
        </w:rPr>
        <w:t> </w:t>
      </w:r>
      <w:r>
        <w:rPr>
          <w:sz w:val="20"/>
        </w:rPr>
        <w:t>charge</w:t>
      </w:r>
      <w:r>
        <w:rPr>
          <w:spacing w:val="-13"/>
          <w:sz w:val="20"/>
        </w:rPr>
        <w:t> </w:t>
      </w:r>
      <w:r>
        <w:rPr>
          <w:sz w:val="20"/>
        </w:rPr>
        <w:t>utility</w:t>
      </w:r>
      <w:r>
        <w:rPr>
          <w:spacing w:val="-12"/>
          <w:sz w:val="20"/>
        </w:rPr>
        <w:t> </w:t>
      </w:r>
      <w:r>
        <w:rPr>
          <w:sz w:val="20"/>
        </w:rPr>
        <w:t>fees</w:t>
      </w:r>
      <w:r>
        <w:rPr>
          <w:spacing w:val="-12"/>
          <w:sz w:val="20"/>
        </w:rPr>
        <w:t> </w:t>
      </w:r>
      <w:r>
        <w:rPr>
          <w:sz w:val="20"/>
        </w:rPr>
        <w:t>on</w:t>
      </w:r>
      <w:r>
        <w:rPr>
          <w:spacing w:val="-13"/>
          <w:sz w:val="20"/>
        </w:rPr>
        <w:t> </w:t>
      </w:r>
      <w:r>
        <w:rPr>
          <w:sz w:val="20"/>
        </w:rPr>
        <w:t>a</w:t>
      </w:r>
      <w:r>
        <w:rPr>
          <w:spacing w:val="-12"/>
          <w:sz w:val="20"/>
        </w:rPr>
        <w:t> </w:t>
      </w:r>
      <w:r>
        <w:rPr>
          <w:sz w:val="20"/>
        </w:rPr>
        <w:t>pass-through</w:t>
      </w:r>
      <w:r>
        <w:rPr>
          <w:spacing w:val="-13"/>
          <w:sz w:val="20"/>
        </w:rPr>
        <w:t> </w:t>
      </w:r>
      <w:r>
        <w:rPr>
          <w:sz w:val="20"/>
        </w:rPr>
        <w:t>basis</w:t>
      </w:r>
      <w:r>
        <w:rPr>
          <w:spacing w:val="-11"/>
          <w:sz w:val="20"/>
        </w:rPr>
        <w:t> </w:t>
      </w:r>
      <w:r>
        <w:rPr>
          <w:sz w:val="20"/>
        </w:rPr>
        <w:t>independently</w:t>
      </w:r>
      <w:r>
        <w:rPr>
          <w:spacing w:val="-13"/>
          <w:sz w:val="20"/>
        </w:rPr>
        <w:t> </w:t>
      </w:r>
      <w:r>
        <w:rPr>
          <w:sz w:val="20"/>
        </w:rPr>
        <w:t>meter</w:t>
      </w:r>
      <w:r>
        <w:rPr>
          <w:spacing w:val="-12"/>
          <w:sz w:val="20"/>
        </w:rPr>
        <w:t> </w:t>
      </w:r>
      <w:r>
        <w:rPr>
          <w:sz w:val="20"/>
        </w:rPr>
        <w:t>utility</w:t>
      </w:r>
      <w:r>
        <w:rPr>
          <w:spacing w:val="-12"/>
          <w:sz w:val="20"/>
        </w:rPr>
        <w:t> </w:t>
      </w:r>
      <w:r>
        <w:rPr>
          <w:sz w:val="20"/>
        </w:rPr>
        <w:t>usage</w:t>
      </w:r>
      <w:r>
        <w:rPr>
          <w:spacing w:val="-13"/>
          <w:sz w:val="20"/>
        </w:rPr>
        <w:t> </w:t>
      </w:r>
      <w:r>
        <w:rPr>
          <w:sz w:val="20"/>
        </w:rPr>
        <w:t>by</w:t>
      </w:r>
      <w:r>
        <w:rPr>
          <w:spacing w:val="-12"/>
          <w:sz w:val="20"/>
        </w:rPr>
        <w:t> </w:t>
      </w:r>
      <w:r>
        <w:rPr>
          <w:sz w:val="20"/>
        </w:rPr>
        <w:t>unit and pass on</w:t>
      </w:r>
      <w:r>
        <w:rPr>
          <w:spacing w:val="-1"/>
          <w:sz w:val="20"/>
        </w:rPr>
        <w:t> </w:t>
      </w:r>
      <w:r>
        <w:rPr>
          <w:sz w:val="20"/>
        </w:rPr>
        <w:t>the</w:t>
      </w:r>
      <w:r>
        <w:rPr>
          <w:spacing w:val="-1"/>
          <w:sz w:val="20"/>
        </w:rPr>
        <w:t> </w:t>
      </w:r>
      <w:r>
        <w:rPr>
          <w:sz w:val="20"/>
        </w:rPr>
        <w:t>utility</w:t>
      </w:r>
      <w:r>
        <w:rPr>
          <w:spacing w:val="-1"/>
          <w:sz w:val="20"/>
        </w:rPr>
        <w:t> </w:t>
      </w:r>
      <w:r>
        <w:rPr>
          <w:sz w:val="20"/>
        </w:rPr>
        <w:t>charge to</w:t>
      </w:r>
      <w:r>
        <w:rPr>
          <w:spacing w:val="-1"/>
          <w:sz w:val="20"/>
        </w:rPr>
        <w:t> </w:t>
      </w:r>
      <w:r>
        <w:rPr>
          <w:sz w:val="20"/>
        </w:rPr>
        <w:t>tenants (e.g., Ratio</w:t>
      </w:r>
      <w:r>
        <w:rPr>
          <w:spacing w:val="-1"/>
          <w:sz w:val="20"/>
        </w:rPr>
        <w:t> </w:t>
      </w:r>
      <w:r>
        <w:rPr>
          <w:sz w:val="20"/>
        </w:rPr>
        <w:t>Utility</w:t>
      </w:r>
      <w:r>
        <w:rPr>
          <w:spacing w:val="-1"/>
          <w:sz w:val="20"/>
        </w:rPr>
        <w:t> </w:t>
      </w:r>
      <w:r>
        <w:rPr>
          <w:sz w:val="20"/>
        </w:rPr>
        <w:t>Billing System, or</w:t>
      </w:r>
      <w:r>
        <w:rPr>
          <w:spacing w:val="-2"/>
          <w:sz w:val="20"/>
        </w:rPr>
        <w:t> </w:t>
      </w:r>
      <w:r>
        <w:rPr>
          <w:sz w:val="20"/>
        </w:rPr>
        <w:t>RUBS).</w:t>
      </w:r>
    </w:p>
    <w:p>
      <w:pPr>
        <w:spacing w:after="0" w:line="316" w:lineRule="auto"/>
        <w:jc w:val="left"/>
        <w:rPr>
          <w:sz w:val="20"/>
        </w:rPr>
        <w:sectPr>
          <w:pgSz w:w="12240" w:h="15840"/>
          <w:pgMar w:header="0" w:footer="502" w:top="1700" w:bottom="700" w:left="720" w:right="720"/>
        </w:sectPr>
      </w:pPr>
    </w:p>
    <w:p>
      <w:pPr>
        <w:spacing w:before="78"/>
        <w:ind w:left="1008" w:right="0" w:firstLine="0"/>
        <w:jc w:val="left"/>
        <w:rPr>
          <w:i/>
          <w:sz w:val="22"/>
        </w:rPr>
      </w:pPr>
      <w:r>
        <w:rPr>
          <w:i/>
          <w:sz w:val="22"/>
        </w:rPr>
        <w:t>Figure</w:t>
      </w:r>
      <w:r>
        <w:rPr>
          <w:i/>
          <w:spacing w:val="-10"/>
          <w:sz w:val="22"/>
        </w:rPr>
        <w:t> </w:t>
      </w:r>
      <w:r>
        <w:rPr>
          <w:i/>
          <w:sz w:val="22"/>
        </w:rPr>
        <w:t>6:</w:t>
      </w:r>
      <w:r>
        <w:rPr>
          <w:i/>
          <w:spacing w:val="41"/>
          <w:sz w:val="22"/>
        </w:rPr>
        <w:t> </w:t>
      </w:r>
      <w:r>
        <w:rPr>
          <w:i/>
          <w:sz w:val="22"/>
        </w:rPr>
        <w:t>Percent</w:t>
      </w:r>
      <w:r>
        <w:rPr>
          <w:i/>
          <w:spacing w:val="-11"/>
          <w:sz w:val="22"/>
        </w:rPr>
        <w:t> </w:t>
      </w:r>
      <w:r>
        <w:rPr>
          <w:i/>
          <w:sz w:val="22"/>
        </w:rPr>
        <w:t>of</w:t>
      </w:r>
      <w:r>
        <w:rPr>
          <w:i/>
          <w:spacing w:val="-6"/>
          <w:sz w:val="22"/>
        </w:rPr>
        <w:t> </w:t>
      </w:r>
      <w:r>
        <w:rPr>
          <w:i/>
          <w:sz w:val="22"/>
        </w:rPr>
        <w:t>Respondents</w:t>
      </w:r>
      <w:r>
        <w:rPr>
          <w:i/>
          <w:spacing w:val="-8"/>
          <w:sz w:val="22"/>
        </w:rPr>
        <w:t> </w:t>
      </w:r>
      <w:r>
        <w:rPr>
          <w:i/>
          <w:sz w:val="22"/>
        </w:rPr>
        <w:t>Including</w:t>
      </w:r>
      <w:r>
        <w:rPr>
          <w:i/>
          <w:spacing w:val="-8"/>
          <w:sz w:val="22"/>
        </w:rPr>
        <w:t> </w:t>
      </w:r>
      <w:r>
        <w:rPr>
          <w:i/>
          <w:sz w:val="22"/>
        </w:rPr>
        <w:t>Appliances</w:t>
      </w:r>
      <w:r>
        <w:rPr>
          <w:i/>
          <w:spacing w:val="-7"/>
          <w:sz w:val="22"/>
        </w:rPr>
        <w:t> </w:t>
      </w:r>
      <w:r>
        <w:rPr>
          <w:i/>
          <w:sz w:val="22"/>
        </w:rPr>
        <w:t>in</w:t>
      </w:r>
      <w:r>
        <w:rPr>
          <w:i/>
          <w:spacing w:val="-8"/>
          <w:sz w:val="22"/>
        </w:rPr>
        <w:t> </w:t>
      </w:r>
      <w:r>
        <w:rPr>
          <w:i/>
          <w:sz w:val="22"/>
        </w:rPr>
        <w:t>Unit</w:t>
      </w:r>
      <w:r>
        <w:rPr>
          <w:i/>
          <w:spacing w:val="-8"/>
          <w:sz w:val="22"/>
        </w:rPr>
        <w:t> </w:t>
      </w:r>
      <w:r>
        <w:rPr>
          <w:i/>
          <w:sz w:val="22"/>
        </w:rPr>
        <w:t>by</w:t>
      </w:r>
      <w:r>
        <w:rPr>
          <w:i/>
          <w:spacing w:val="-8"/>
          <w:sz w:val="22"/>
        </w:rPr>
        <w:t> </w:t>
      </w:r>
      <w:r>
        <w:rPr>
          <w:i/>
          <w:sz w:val="22"/>
        </w:rPr>
        <w:t>Lease</w:t>
      </w:r>
      <w:r>
        <w:rPr>
          <w:i/>
          <w:spacing w:val="-8"/>
          <w:sz w:val="22"/>
        </w:rPr>
        <w:t> </w:t>
      </w:r>
      <w:r>
        <w:rPr>
          <w:i/>
          <w:spacing w:val="-4"/>
          <w:sz w:val="22"/>
        </w:rPr>
        <w:t>Type</w:t>
      </w:r>
    </w:p>
    <w:p>
      <w:pPr>
        <w:pStyle w:val="BodyText"/>
        <w:spacing w:before="183"/>
        <w:rPr>
          <w:i/>
        </w:rPr>
      </w:pPr>
    </w:p>
    <w:p>
      <w:pPr>
        <w:spacing w:before="0"/>
        <w:ind w:left="1580"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43488">
                <wp:simplePos x="0" y="0"/>
                <wp:positionH relativeFrom="page">
                  <wp:posOffset>1812020</wp:posOffset>
                </wp:positionH>
                <wp:positionV relativeFrom="paragraph">
                  <wp:posOffset>-133519</wp:posOffset>
                </wp:positionV>
                <wp:extent cx="4658360" cy="1637664"/>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4658360" cy="1637664"/>
                          <a:chExt cx="4658360" cy="1637664"/>
                        </a:xfrm>
                      </wpg:grpSpPr>
                      <pic:pic>
                        <pic:nvPicPr>
                          <pic:cNvPr id="105" name="Image 105"/>
                          <pic:cNvPicPr/>
                        </pic:nvPicPr>
                        <pic:blipFill>
                          <a:blip r:embed="rId53" cstate="print"/>
                          <a:stretch>
                            <a:fillRect/>
                          </a:stretch>
                        </pic:blipFill>
                        <pic:spPr>
                          <a:xfrm>
                            <a:off x="0" y="93940"/>
                            <a:ext cx="4658162" cy="1543109"/>
                          </a:xfrm>
                          <a:prstGeom prst="rect">
                            <a:avLst/>
                          </a:prstGeom>
                        </pic:spPr>
                      </pic:pic>
                      <wps:wsp>
                        <wps:cNvPr id="106" name="Textbox 106"/>
                        <wps:cNvSpPr txBox="1"/>
                        <wps:spPr>
                          <a:xfrm>
                            <a:off x="765317" y="0"/>
                            <a:ext cx="1238885" cy="141605"/>
                          </a:xfrm>
                          <a:prstGeom prst="rect">
                            <a:avLst/>
                          </a:prstGeom>
                        </wps:spPr>
                        <wps:txbx>
                          <w:txbxContent>
                            <w:p>
                              <w:pPr>
                                <w:spacing w:line="187" w:lineRule="auto" w:before="0"/>
                                <w:ind w:left="0" w:right="0" w:firstLine="0"/>
                                <w:jc w:val="left"/>
                                <w:rPr>
                                  <w:rFonts w:ascii="Calibri"/>
                                  <w:position w:val="-3"/>
                                  <w:sz w:val="18"/>
                                </w:rPr>
                              </w:pPr>
                              <w:r>
                                <w:rPr>
                                  <w:rFonts w:ascii="Calibri"/>
                                  <w:color w:val="404040"/>
                                  <w:sz w:val="18"/>
                                </w:rPr>
                                <w:t>100%</w:t>
                              </w:r>
                              <w:r>
                                <w:rPr>
                                  <w:rFonts w:ascii="Calibri"/>
                                  <w:color w:val="404040"/>
                                  <w:spacing w:val="42"/>
                                  <w:sz w:val="18"/>
                                </w:rPr>
                                <w:t> </w:t>
                              </w:r>
                              <w:r>
                                <w:rPr>
                                  <w:rFonts w:ascii="Calibri"/>
                                  <w:color w:val="404040"/>
                                  <w:sz w:val="18"/>
                                </w:rPr>
                                <w:t>100%</w:t>
                              </w:r>
                              <w:r>
                                <w:rPr>
                                  <w:rFonts w:ascii="Calibri"/>
                                  <w:color w:val="404040"/>
                                  <w:spacing w:val="55"/>
                                  <w:sz w:val="18"/>
                                </w:rPr>
                                <w:t>  </w:t>
                              </w:r>
                              <w:r>
                                <w:rPr>
                                  <w:rFonts w:ascii="Calibri"/>
                                  <w:color w:val="404040"/>
                                  <w:sz w:val="18"/>
                                </w:rPr>
                                <w:t>100%</w:t>
                              </w:r>
                              <w:r>
                                <w:rPr>
                                  <w:rFonts w:ascii="Calibri"/>
                                  <w:color w:val="404040"/>
                                  <w:spacing w:val="-5"/>
                                  <w:sz w:val="18"/>
                                </w:rPr>
                                <w:t> </w:t>
                              </w:r>
                              <w:r>
                                <w:rPr>
                                  <w:rFonts w:ascii="Calibri"/>
                                  <w:color w:val="404040"/>
                                  <w:spacing w:val="-4"/>
                                  <w:position w:val="-3"/>
                                  <w:sz w:val="18"/>
                                </w:rPr>
                                <w:t>100%</w:t>
                              </w:r>
                            </w:p>
                          </w:txbxContent>
                        </wps:txbx>
                        <wps:bodyPr wrap="square" lIns="0" tIns="0" rIns="0" bIns="0" rtlCol="0">
                          <a:noAutofit/>
                        </wps:bodyPr>
                      </wps:wsp>
                      <wps:wsp>
                        <wps:cNvPr id="107" name="Textbox 107"/>
                        <wps:cNvSpPr txBox="1"/>
                        <wps:spPr>
                          <a:xfrm>
                            <a:off x="2746517" y="0"/>
                            <a:ext cx="26860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4"/>
                                  <w:sz w:val="18"/>
                                </w:rPr>
                                <w:t>100%</w:t>
                              </w:r>
                            </w:p>
                          </w:txbxContent>
                        </wps:txbx>
                        <wps:bodyPr wrap="square" lIns="0" tIns="0" rIns="0" bIns="0" rtlCol="0">
                          <a:noAutofit/>
                        </wps:bodyPr>
                      </wps:wsp>
                      <wps:wsp>
                        <wps:cNvPr id="108" name="Textbox 108"/>
                        <wps:cNvSpPr txBox="1"/>
                        <wps:spPr>
                          <a:xfrm>
                            <a:off x="196357" y="121920"/>
                            <a:ext cx="458470" cy="160020"/>
                          </a:xfrm>
                          <a:prstGeom prst="rect">
                            <a:avLst/>
                          </a:prstGeom>
                        </wps:spPr>
                        <wps:txbx>
                          <w:txbxContent>
                            <w:p>
                              <w:pPr>
                                <w:spacing w:line="187" w:lineRule="auto" w:before="0"/>
                                <w:ind w:left="0" w:right="0" w:firstLine="0"/>
                                <w:jc w:val="left"/>
                                <w:rPr>
                                  <w:rFonts w:ascii="Calibri"/>
                                  <w:sz w:val="18"/>
                                </w:rPr>
                              </w:pPr>
                              <w:r>
                                <w:rPr>
                                  <w:rFonts w:ascii="Calibri"/>
                                  <w:color w:val="404040"/>
                                  <w:position w:val="-6"/>
                                  <w:sz w:val="18"/>
                                </w:rPr>
                                <w:t>88%</w:t>
                              </w:r>
                              <w:r>
                                <w:rPr>
                                  <w:rFonts w:ascii="Calibri"/>
                                  <w:color w:val="404040"/>
                                  <w:spacing w:val="35"/>
                                  <w:position w:val="-6"/>
                                  <w:sz w:val="18"/>
                                </w:rPr>
                                <w:t> </w:t>
                              </w:r>
                              <w:r>
                                <w:rPr>
                                  <w:rFonts w:ascii="Calibri"/>
                                  <w:color w:val="404040"/>
                                  <w:spacing w:val="-5"/>
                                  <w:sz w:val="18"/>
                                </w:rPr>
                                <w:t>92%</w:t>
                              </w:r>
                            </w:p>
                          </w:txbxContent>
                        </wps:txbx>
                        <wps:bodyPr wrap="square" lIns="0" tIns="0" rIns="0" bIns="0" rtlCol="0">
                          <a:noAutofit/>
                        </wps:bodyPr>
                      </wps:wsp>
                      <wps:wsp>
                        <wps:cNvPr id="109" name="Textbox 109"/>
                        <wps:cNvSpPr txBox="1"/>
                        <wps:spPr>
                          <a:xfrm>
                            <a:off x="2130821" y="8381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94%</w:t>
                              </w:r>
                            </w:p>
                          </w:txbxContent>
                        </wps:txbx>
                        <wps:bodyPr wrap="square" lIns="0" tIns="0" rIns="0" bIns="0" rtlCol="0">
                          <a:noAutofit/>
                        </wps:bodyPr>
                      </wps:wsp>
                      <wps:wsp>
                        <wps:cNvPr id="110" name="Textbox 110"/>
                        <wps:cNvSpPr txBox="1"/>
                        <wps:spPr>
                          <a:xfrm>
                            <a:off x="3054365" y="44780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70%</w:t>
                              </w:r>
                            </w:p>
                          </w:txbxContent>
                        </wps:txbx>
                        <wps:bodyPr wrap="square" lIns="0" tIns="0" rIns="0" bIns="0" rtlCol="0">
                          <a:noAutofit/>
                        </wps:bodyPr>
                      </wps:wsp>
                      <wps:wsp>
                        <wps:cNvPr id="111" name="Textbox 111"/>
                        <wps:cNvSpPr txBox="1"/>
                        <wps:spPr>
                          <a:xfrm>
                            <a:off x="2409713" y="61086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57%</w:t>
                              </w:r>
                            </w:p>
                          </w:txbxContent>
                        </wps:txbx>
                        <wps:bodyPr wrap="square" lIns="0" tIns="0" rIns="0" bIns="0" rtlCol="0">
                          <a:noAutofit/>
                        </wps:bodyPr>
                      </wps:wsp>
                      <wps:wsp>
                        <wps:cNvPr id="112" name="Textbox 112"/>
                        <wps:cNvSpPr txBox="1"/>
                        <wps:spPr>
                          <a:xfrm>
                            <a:off x="3420506" y="58674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59%</w:t>
                              </w:r>
                            </w:p>
                          </w:txbxContent>
                        </wps:txbx>
                        <wps:bodyPr wrap="square" lIns="0" tIns="0" rIns="0" bIns="0" rtlCol="0">
                          <a:noAutofit/>
                        </wps:bodyPr>
                      </wps:wsp>
                      <wps:wsp>
                        <wps:cNvPr id="113" name="Textbox 113"/>
                        <wps:cNvSpPr txBox="1"/>
                        <wps:spPr>
                          <a:xfrm>
                            <a:off x="3699398" y="116738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19%</w:t>
                              </w:r>
                            </w:p>
                          </w:txbxContent>
                        </wps:txbx>
                        <wps:bodyPr wrap="square" lIns="0" tIns="0" rIns="0" bIns="0" rtlCol="0">
                          <a:noAutofit/>
                        </wps:bodyPr>
                      </wps:wsp>
                      <wps:wsp>
                        <wps:cNvPr id="114" name="Textbox 114"/>
                        <wps:cNvSpPr txBox="1"/>
                        <wps:spPr>
                          <a:xfrm>
                            <a:off x="4094114" y="1398142"/>
                            <a:ext cx="306705" cy="141605"/>
                          </a:xfrm>
                          <a:prstGeom prst="rect">
                            <a:avLst/>
                          </a:prstGeom>
                        </wps:spPr>
                        <wps:txbx>
                          <w:txbxContent>
                            <w:p>
                              <w:pPr>
                                <w:spacing w:line="187" w:lineRule="auto" w:before="0"/>
                                <w:ind w:left="0" w:right="0" w:firstLine="0"/>
                                <w:jc w:val="left"/>
                                <w:rPr>
                                  <w:rFonts w:ascii="Calibri"/>
                                  <w:sz w:val="18"/>
                                </w:rPr>
                              </w:pPr>
                              <w:r>
                                <w:rPr>
                                  <w:rFonts w:ascii="Calibri"/>
                                  <w:color w:val="404040"/>
                                  <w:spacing w:val="-2"/>
                                  <w:position w:val="-3"/>
                                  <w:sz w:val="18"/>
                                </w:rPr>
                                <w:t>0%</w:t>
                              </w:r>
                              <w:r>
                                <w:rPr>
                                  <w:rFonts w:ascii="Calibri"/>
                                  <w:color w:val="404040"/>
                                  <w:spacing w:val="-16"/>
                                  <w:position w:val="-3"/>
                                  <w:sz w:val="18"/>
                                </w:rPr>
                                <w:t> </w:t>
                              </w:r>
                              <w:r>
                                <w:rPr>
                                  <w:rFonts w:ascii="Calibri"/>
                                  <w:color w:val="404040"/>
                                  <w:spacing w:val="-5"/>
                                  <w:sz w:val="18"/>
                                </w:rPr>
                                <w:t>2%</w:t>
                              </w:r>
                            </w:p>
                          </w:txbxContent>
                        </wps:txbx>
                        <wps:bodyPr wrap="square" lIns="0" tIns="0" rIns="0" bIns="0" rtlCol="0">
                          <a:noAutofit/>
                        </wps:bodyPr>
                      </wps:wsp>
                    </wpg:wgp>
                  </a:graphicData>
                </a:graphic>
              </wp:anchor>
            </w:drawing>
          </mc:Choice>
          <mc:Fallback>
            <w:pict>
              <v:group style="position:absolute;margin-left:142.678772pt;margin-top:-10.513359pt;width:366.8pt;height:128.9500pt;mso-position-horizontal-relative:page;mso-position-vertical-relative:paragraph;z-index:15743488" id="docshapegroup86" coordorigin="2854,-210" coordsize="7336,2579">
                <v:shape style="position:absolute;left:2853;top:-63;width:7336;height:2431" type="#_x0000_t75" id="docshape87" stroked="false">
                  <v:imagedata r:id="rId53" o:title=""/>
                </v:shape>
                <v:shape style="position:absolute;left:4058;top:-211;width:1951;height:223" type="#_x0000_t202" id="docshape88" filled="false" stroked="false">
                  <v:textbox inset="0,0,0,0">
                    <w:txbxContent>
                      <w:p>
                        <w:pPr>
                          <w:spacing w:line="187" w:lineRule="auto" w:before="0"/>
                          <w:ind w:left="0" w:right="0" w:firstLine="0"/>
                          <w:jc w:val="left"/>
                          <w:rPr>
                            <w:rFonts w:ascii="Calibri"/>
                            <w:position w:val="-3"/>
                            <w:sz w:val="18"/>
                          </w:rPr>
                        </w:pPr>
                        <w:r>
                          <w:rPr>
                            <w:rFonts w:ascii="Calibri"/>
                            <w:color w:val="404040"/>
                            <w:sz w:val="18"/>
                          </w:rPr>
                          <w:t>100%</w:t>
                        </w:r>
                        <w:r>
                          <w:rPr>
                            <w:rFonts w:ascii="Calibri"/>
                            <w:color w:val="404040"/>
                            <w:spacing w:val="42"/>
                            <w:sz w:val="18"/>
                          </w:rPr>
                          <w:t> </w:t>
                        </w:r>
                        <w:r>
                          <w:rPr>
                            <w:rFonts w:ascii="Calibri"/>
                            <w:color w:val="404040"/>
                            <w:sz w:val="18"/>
                          </w:rPr>
                          <w:t>100%</w:t>
                        </w:r>
                        <w:r>
                          <w:rPr>
                            <w:rFonts w:ascii="Calibri"/>
                            <w:color w:val="404040"/>
                            <w:spacing w:val="55"/>
                            <w:sz w:val="18"/>
                          </w:rPr>
                          <w:t>  </w:t>
                        </w:r>
                        <w:r>
                          <w:rPr>
                            <w:rFonts w:ascii="Calibri"/>
                            <w:color w:val="404040"/>
                            <w:sz w:val="18"/>
                          </w:rPr>
                          <w:t>100%</w:t>
                        </w:r>
                        <w:r>
                          <w:rPr>
                            <w:rFonts w:ascii="Calibri"/>
                            <w:color w:val="404040"/>
                            <w:spacing w:val="-5"/>
                            <w:sz w:val="18"/>
                          </w:rPr>
                          <w:t> </w:t>
                        </w:r>
                        <w:r>
                          <w:rPr>
                            <w:rFonts w:ascii="Calibri"/>
                            <w:color w:val="404040"/>
                            <w:spacing w:val="-4"/>
                            <w:position w:val="-3"/>
                            <w:sz w:val="18"/>
                          </w:rPr>
                          <w:t>100%</w:t>
                        </w:r>
                      </w:p>
                    </w:txbxContent>
                  </v:textbox>
                  <w10:wrap type="none"/>
                </v:shape>
                <v:shape style="position:absolute;left:7178;top:-211;width:423;height:180" type="#_x0000_t202" id="docshape89" filled="false" stroked="false">
                  <v:textbox inset="0,0,0,0">
                    <w:txbxContent>
                      <w:p>
                        <w:pPr>
                          <w:spacing w:line="180" w:lineRule="exact" w:before="0"/>
                          <w:ind w:left="0" w:right="0" w:firstLine="0"/>
                          <w:jc w:val="left"/>
                          <w:rPr>
                            <w:rFonts w:ascii="Calibri"/>
                            <w:sz w:val="18"/>
                          </w:rPr>
                        </w:pPr>
                        <w:r>
                          <w:rPr>
                            <w:rFonts w:ascii="Calibri"/>
                            <w:color w:val="404040"/>
                            <w:spacing w:val="-4"/>
                            <w:sz w:val="18"/>
                          </w:rPr>
                          <w:t>100%</w:t>
                        </w:r>
                      </w:p>
                    </w:txbxContent>
                  </v:textbox>
                  <w10:wrap type="none"/>
                </v:shape>
                <v:shape style="position:absolute;left:3162;top:-19;width:722;height:252" type="#_x0000_t202" id="docshape90" filled="false" stroked="false">
                  <v:textbox inset="0,0,0,0">
                    <w:txbxContent>
                      <w:p>
                        <w:pPr>
                          <w:spacing w:line="187" w:lineRule="auto" w:before="0"/>
                          <w:ind w:left="0" w:right="0" w:firstLine="0"/>
                          <w:jc w:val="left"/>
                          <w:rPr>
                            <w:rFonts w:ascii="Calibri"/>
                            <w:sz w:val="18"/>
                          </w:rPr>
                        </w:pPr>
                        <w:r>
                          <w:rPr>
                            <w:rFonts w:ascii="Calibri"/>
                            <w:color w:val="404040"/>
                            <w:position w:val="-6"/>
                            <w:sz w:val="18"/>
                          </w:rPr>
                          <w:t>88%</w:t>
                        </w:r>
                        <w:r>
                          <w:rPr>
                            <w:rFonts w:ascii="Calibri"/>
                            <w:color w:val="404040"/>
                            <w:spacing w:val="35"/>
                            <w:position w:val="-6"/>
                            <w:sz w:val="18"/>
                          </w:rPr>
                          <w:t> </w:t>
                        </w:r>
                        <w:r>
                          <w:rPr>
                            <w:rFonts w:ascii="Calibri"/>
                            <w:color w:val="404040"/>
                            <w:spacing w:val="-5"/>
                            <w:sz w:val="18"/>
                          </w:rPr>
                          <w:t>92%</w:t>
                        </w:r>
                      </w:p>
                    </w:txbxContent>
                  </v:textbox>
                  <w10:wrap type="none"/>
                </v:shape>
                <v:shape style="position:absolute;left:6209;top:-79;width:332;height:180" type="#_x0000_t202" id="docshape9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94%</w:t>
                        </w:r>
                      </w:p>
                    </w:txbxContent>
                  </v:textbox>
                  <w10:wrap type="none"/>
                </v:shape>
                <v:shape style="position:absolute;left:7663;top:494;width:332;height:180" type="#_x0000_t202" id="docshape92"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70%</w:t>
                        </w:r>
                      </w:p>
                    </w:txbxContent>
                  </v:textbox>
                  <w10:wrap type="none"/>
                </v:shape>
                <v:shape style="position:absolute;left:6648;top:751;width:332;height:180" type="#_x0000_t202" id="docshape9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57%</w:t>
                        </w:r>
                      </w:p>
                    </w:txbxContent>
                  </v:textbox>
                  <w10:wrap type="none"/>
                </v:shape>
                <v:shape style="position:absolute;left:8240;top:713;width:332;height:180" type="#_x0000_t202" id="docshape9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59%</w:t>
                        </w:r>
                      </w:p>
                    </w:txbxContent>
                  </v:textbox>
                  <w10:wrap type="none"/>
                </v:shape>
                <v:shape style="position:absolute;left:8679;top:1628;width:332;height:180" type="#_x0000_t202" id="docshape9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19%</w:t>
                        </w:r>
                      </w:p>
                    </w:txbxContent>
                  </v:textbox>
                  <w10:wrap type="none"/>
                </v:shape>
                <v:shape style="position:absolute;left:9301;top:1991;width:483;height:223" type="#_x0000_t202" id="docshape96" filled="false" stroked="false">
                  <v:textbox inset="0,0,0,0">
                    <w:txbxContent>
                      <w:p>
                        <w:pPr>
                          <w:spacing w:line="187" w:lineRule="auto" w:before="0"/>
                          <w:ind w:left="0" w:right="0" w:firstLine="0"/>
                          <w:jc w:val="left"/>
                          <w:rPr>
                            <w:rFonts w:ascii="Calibri"/>
                            <w:sz w:val="18"/>
                          </w:rPr>
                        </w:pPr>
                        <w:r>
                          <w:rPr>
                            <w:rFonts w:ascii="Calibri"/>
                            <w:color w:val="404040"/>
                            <w:spacing w:val="-2"/>
                            <w:position w:val="-3"/>
                            <w:sz w:val="18"/>
                          </w:rPr>
                          <w:t>0%</w:t>
                        </w:r>
                        <w:r>
                          <w:rPr>
                            <w:rFonts w:ascii="Calibri"/>
                            <w:color w:val="404040"/>
                            <w:spacing w:val="-16"/>
                            <w:position w:val="-3"/>
                            <w:sz w:val="18"/>
                          </w:rPr>
                          <w:t> </w:t>
                        </w:r>
                        <w:r>
                          <w:rPr>
                            <w:rFonts w:ascii="Calibri"/>
                            <w:color w:val="404040"/>
                            <w:spacing w:val="-5"/>
                            <w:sz w:val="18"/>
                          </w:rPr>
                          <w:t>2%</w:t>
                        </w:r>
                      </w:p>
                    </w:txbxContent>
                  </v:textbox>
                  <w10:wrap type="none"/>
                </v:shape>
                <w10:wrap type="none"/>
              </v:group>
            </w:pict>
          </mc:Fallback>
        </mc:AlternateContent>
      </w:r>
      <w:r>
        <w:rPr>
          <w:rFonts w:ascii="Calibri"/>
          <w:color w:val="585858"/>
          <w:spacing w:val="-4"/>
          <w:sz w:val="18"/>
        </w:rPr>
        <w:t>100%</w:t>
      </w:r>
    </w:p>
    <w:p>
      <w:pPr>
        <w:pStyle w:val="BodyText"/>
        <w:spacing w:before="9"/>
        <w:rPr>
          <w:rFonts w:ascii="Calibri"/>
          <w:sz w:val="18"/>
        </w:rPr>
      </w:pPr>
    </w:p>
    <w:p>
      <w:pPr>
        <w:spacing w:before="0"/>
        <w:ind w:left="1671" w:right="0" w:firstLine="0"/>
        <w:jc w:val="left"/>
        <w:rPr>
          <w:rFonts w:ascii="Calibri"/>
          <w:sz w:val="18"/>
        </w:rPr>
      </w:pPr>
      <w:r>
        <w:rPr>
          <w:rFonts w:ascii="Calibri"/>
          <w:color w:val="585858"/>
          <w:spacing w:val="-5"/>
          <w:sz w:val="18"/>
        </w:rPr>
        <w:t>80%</w:t>
      </w:r>
    </w:p>
    <w:p>
      <w:pPr>
        <w:pStyle w:val="BodyText"/>
        <w:spacing w:before="10"/>
        <w:rPr>
          <w:rFonts w:ascii="Calibri"/>
          <w:sz w:val="18"/>
        </w:rPr>
      </w:pPr>
    </w:p>
    <w:p>
      <w:pPr>
        <w:spacing w:before="0"/>
        <w:ind w:left="1671" w:right="0" w:firstLine="0"/>
        <w:jc w:val="left"/>
        <w:rPr>
          <w:rFonts w:ascii="Calibri"/>
          <w:sz w:val="18"/>
        </w:rPr>
      </w:pPr>
      <w:r>
        <w:rPr>
          <w:rFonts w:ascii="Calibri"/>
          <w:color w:val="585858"/>
          <w:spacing w:val="-5"/>
          <w:sz w:val="18"/>
        </w:rPr>
        <w:t>60%</w:t>
      </w:r>
    </w:p>
    <w:p>
      <w:pPr>
        <w:pStyle w:val="BodyText"/>
        <w:spacing w:before="9"/>
        <w:rPr>
          <w:rFonts w:ascii="Calibri"/>
          <w:sz w:val="18"/>
        </w:rPr>
      </w:pPr>
    </w:p>
    <w:p>
      <w:pPr>
        <w:spacing w:before="0"/>
        <w:ind w:left="1671" w:right="0" w:firstLine="0"/>
        <w:jc w:val="left"/>
        <w:rPr>
          <w:rFonts w:ascii="Calibri"/>
          <w:sz w:val="18"/>
        </w:rPr>
      </w:pPr>
      <w:r>
        <w:rPr>
          <w:rFonts w:ascii="Calibri"/>
          <w:color w:val="585858"/>
          <w:spacing w:val="-5"/>
          <w:sz w:val="18"/>
        </w:rPr>
        <w:t>40%</w:t>
      </w:r>
    </w:p>
    <w:p>
      <w:pPr>
        <w:pStyle w:val="BodyText"/>
        <w:spacing w:before="9"/>
        <w:rPr>
          <w:rFonts w:ascii="Calibri"/>
          <w:sz w:val="18"/>
        </w:rPr>
      </w:pPr>
    </w:p>
    <w:p>
      <w:pPr>
        <w:spacing w:before="1"/>
        <w:ind w:left="1671" w:right="0" w:firstLine="0"/>
        <w:jc w:val="left"/>
        <w:rPr>
          <w:rFonts w:ascii="Calibri"/>
          <w:sz w:val="18"/>
        </w:rPr>
      </w:pPr>
      <w:r>
        <w:rPr>
          <w:rFonts w:ascii="Calibri"/>
          <w:color w:val="585858"/>
          <w:spacing w:val="-5"/>
          <w:sz w:val="18"/>
        </w:rPr>
        <w:t>20%</w:t>
      </w:r>
    </w:p>
    <w:p>
      <w:pPr>
        <w:pStyle w:val="BodyText"/>
        <w:spacing w:before="9"/>
        <w:rPr>
          <w:rFonts w:ascii="Calibri"/>
          <w:sz w:val="18"/>
        </w:rPr>
      </w:pPr>
    </w:p>
    <w:p>
      <w:pPr>
        <w:spacing w:before="1"/>
        <w:ind w:left="1763" w:right="0" w:firstLine="0"/>
        <w:jc w:val="left"/>
        <w:rPr>
          <w:rFonts w:ascii="Calibri"/>
          <w:sz w:val="18"/>
        </w:rPr>
      </w:pPr>
      <w:r>
        <w:rPr>
          <w:rFonts w:ascii="Calibri"/>
          <w:sz w:val="18"/>
        </w:rPr>
        <w:drawing>
          <wp:anchor distT="0" distB="0" distL="0" distR="0" allowOverlap="1" layoutInCell="1" locked="0" behindDoc="1" simplePos="0" relativeHeight="487599616">
            <wp:simplePos x="0" y="0"/>
            <wp:positionH relativeFrom="page">
              <wp:posOffset>1610105</wp:posOffset>
            </wp:positionH>
            <wp:positionV relativeFrom="paragraph">
              <wp:posOffset>186224</wp:posOffset>
            </wp:positionV>
            <wp:extent cx="565146" cy="561975"/>
            <wp:effectExtent l="0" t="0" r="0" b="0"/>
            <wp:wrapTopAndBottom/>
            <wp:docPr id="115" name="Image 115"/>
            <wp:cNvGraphicFramePr>
              <a:graphicFrameLocks/>
            </wp:cNvGraphicFramePr>
            <a:graphic>
              <a:graphicData uri="http://schemas.openxmlformats.org/drawingml/2006/picture">
                <pic:pic>
                  <pic:nvPicPr>
                    <pic:cNvPr id="115" name="Image 115"/>
                    <pic:cNvPicPr/>
                  </pic:nvPicPr>
                  <pic:blipFill>
                    <a:blip r:embed="rId54" cstate="print"/>
                    <a:stretch>
                      <a:fillRect/>
                    </a:stretch>
                  </pic:blipFill>
                  <pic:spPr>
                    <a:xfrm>
                      <a:off x="0" y="0"/>
                      <a:ext cx="565146" cy="561975"/>
                    </a:xfrm>
                    <a:prstGeom prst="rect">
                      <a:avLst/>
                    </a:prstGeom>
                  </pic:spPr>
                </pic:pic>
              </a:graphicData>
            </a:graphic>
          </wp:anchor>
        </w:drawing>
      </w:r>
      <w:r>
        <w:rPr>
          <w:rFonts w:ascii="Calibri"/>
          <w:sz w:val="18"/>
        </w:rPr>
        <w:drawing>
          <wp:anchor distT="0" distB="0" distL="0" distR="0" allowOverlap="1" layoutInCell="1" locked="0" behindDoc="1" simplePos="0" relativeHeight="487600128">
            <wp:simplePos x="0" y="0"/>
            <wp:positionH relativeFrom="page">
              <wp:posOffset>2375407</wp:posOffset>
            </wp:positionH>
            <wp:positionV relativeFrom="paragraph">
              <wp:posOffset>185589</wp:posOffset>
            </wp:positionV>
            <wp:extent cx="428752" cy="428625"/>
            <wp:effectExtent l="0" t="0" r="0" b="0"/>
            <wp:wrapTopAndBottom/>
            <wp:docPr id="116" name="Image 116"/>
            <wp:cNvGraphicFramePr>
              <a:graphicFrameLocks/>
            </wp:cNvGraphicFramePr>
            <a:graphic>
              <a:graphicData uri="http://schemas.openxmlformats.org/drawingml/2006/picture">
                <pic:pic>
                  <pic:nvPicPr>
                    <pic:cNvPr id="116" name="Image 116"/>
                    <pic:cNvPicPr/>
                  </pic:nvPicPr>
                  <pic:blipFill>
                    <a:blip r:embed="rId55" cstate="print"/>
                    <a:stretch>
                      <a:fillRect/>
                    </a:stretch>
                  </pic:blipFill>
                  <pic:spPr>
                    <a:xfrm>
                      <a:off x="0" y="0"/>
                      <a:ext cx="428752" cy="428625"/>
                    </a:xfrm>
                    <a:prstGeom prst="rect">
                      <a:avLst/>
                    </a:prstGeom>
                  </pic:spPr>
                </pic:pic>
              </a:graphicData>
            </a:graphic>
          </wp:anchor>
        </w:drawing>
      </w:r>
      <w:r>
        <w:rPr>
          <w:rFonts w:ascii="Calibri"/>
          <w:sz w:val="18"/>
        </w:rPr>
        <w:drawing>
          <wp:anchor distT="0" distB="0" distL="0" distR="0" allowOverlap="1" layoutInCell="1" locked="0" behindDoc="1" simplePos="0" relativeHeight="487600640">
            <wp:simplePos x="0" y="0"/>
            <wp:positionH relativeFrom="page">
              <wp:posOffset>3033902</wp:posOffset>
            </wp:positionH>
            <wp:positionV relativeFrom="paragraph">
              <wp:posOffset>195368</wp:posOffset>
            </wp:positionV>
            <wp:extent cx="420675" cy="404812"/>
            <wp:effectExtent l="0" t="0" r="0" b="0"/>
            <wp:wrapTopAndBottom/>
            <wp:docPr id="117" name="Image 117"/>
            <wp:cNvGraphicFramePr>
              <a:graphicFrameLocks/>
            </wp:cNvGraphicFramePr>
            <a:graphic>
              <a:graphicData uri="http://schemas.openxmlformats.org/drawingml/2006/picture">
                <pic:pic>
                  <pic:nvPicPr>
                    <pic:cNvPr id="117" name="Image 117"/>
                    <pic:cNvPicPr/>
                  </pic:nvPicPr>
                  <pic:blipFill>
                    <a:blip r:embed="rId56" cstate="print"/>
                    <a:stretch>
                      <a:fillRect/>
                    </a:stretch>
                  </pic:blipFill>
                  <pic:spPr>
                    <a:xfrm>
                      <a:off x="0" y="0"/>
                      <a:ext cx="420675" cy="404812"/>
                    </a:xfrm>
                    <a:prstGeom prst="rect">
                      <a:avLst/>
                    </a:prstGeom>
                  </pic:spPr>
                </pic:pic>
              </a:graphicData>
            </a:graphic>
          </wp:anchor>
        </w:drawing>
      </w:r>
      <w:r>
        <w:rPr>
          <w:rFonts w:ascii="Calibri"/>
          <w:sz w:val="18"/>
        </w:rPr>
        <w:drawing>
          <wp:anchor distT="0" distB="0" distL="0" distR="0" allowOverlap="1" layoutInCell="1" locked="0" behindDoc="1" simplePos="0" relativeHeight="487601152">
            <wp:simplePos x="0" y="0"/>
            <wp:positionH relativeFrom="page">
              <wp:posOffset>3697604</wp:posOffset>
            </wp:positionH>
            <wp:positionV relativeFrom="paragraph">
              <wp:posOffset>194987</wp:posOffset>
            </wp:positionV>
            <wp:extent cx="402623" cy="385762"/>
            <wp:effectExtent l="0" t="0" r="0" b="0"/>
            <wp:wrapTopAndBottom/>
            <wp:docPr id="118" name="Image 118"/>
            <wp:cNvGraphicFramePr>
              <a:graphicFrameLocks/>
            </wp:cNvGraphicFramePr>
            <a:graphic>
              <a:graphicData uri="http://schemas.openxmlformats.org/drawingml/2006/picture">
                <pic:pic>
                  <pic:nvPicPr>
                    <pic:cNvPr id="118" name="Image 118"/>
                    <pic:cNvPicPr/>
                  </pic:nvPicPr>
                  <pic:blipFill>
                    <a:blip r:embed="rId57" cstate="print"/>
                    <a:stretch>
                      <a:fillRect/>
                    </a:stretch>
                  </pic:blipFill>
                  <pic:spPr>
                    <a:xfrm>
                      <a:off x="0" y="0"/>
                      <a:ext cx="402623" cy="385762"/>
                    </a:xfrm>
                    <a:prstGeom prst="rect">
                      <a:avLst/>
                    </a:prstGeom>
                  </pic:spPr>
                </pic:pic>
              </a:graphicData>
            </a:graphic>
          </wp:anchor>
        </w:drawing>
      </w:r>
      <w:r>
        <w:rPr>
          <w:rFonts w:ascii="Calibri"/>
          <w:sz w:val="18"/>
        </w:rPr>
        <w:drawing>
          <wp:anchor distT="0" distB="0" distL="0" distR="0" allowOverlap="1" layoutInCell="1" locked="0" behindDoc="1" simplePos="0" relativeHeight="487601664">
            <wp:simplePos x="0" y="0"/>
            <wp:positionH relativeFrom="page">
              <wp:posOffset>4326635</wp:posOffset>
            </wp:positionH>
            <wp:positionV relativeFrom="paragraph">
              <wp:posOffset>178985</wp:posOffset>
            </wp:positionV>
            <wp:extent cx="1063439" cy="771525"/>
            <wp:effectExtent l="0" t="0" r="0" b="0"/>
            <wp:wrapTopAndBottom/>
            <wp:docPr id="119" name="Image 119"/>
            <wp:cNvGraphicFramePr>
              <a:graphicFrameLocks/>
            </wp:cNvGraphicFramePr>
            <a:graphic>
              <a:graphicData uri="http://schemas.openxmlformats.org/drawingml/2006/picture">
                <pic:pic>
                  <pic:nvPicPr>
                    <pic:cNvPr id="119" name="Image 119"/>
                    <pic:cNvPicPr/>
                  </pic:nvPicPr>
                  <pic:blipFill>
                    <a:blip r:embed="rId58" cstate="print"/>
                    <a:stretch>
                      <a:fillRect/>
                    </a:stretch>
                  </pic:blipFill>
                  <pic:spPr>
                    <a:xfrm>
                      <a:off x="0" y="0"/>
                      <a:ext cx="1063439" cy="771525"/>
                    </a:xfrm>
                    <a:prstGeom prst="rect">
                      <a:avLst/>
                    </a:prstGeom>
                  </pic:spPr>
                </pic:pic>
              </a:graphicData>
            </a:graphic>
          </wp:anchor>
        </w:drawing>
      </w:r>
      <w:r>
        <w:rPr>
          <w:rFonts w:ascii="Calibri"/>
          <w:sz w:val="18"/>
        </w:rPr>
        <w:drawing>
          <wp:anchor distT="0" distB="0" distL="0" distR="0" allowOverlap="1" layoutInCell="1" locked="0" behindDoc="1" simplePos="0" relativeHeight="487602176">
            <wp:simplePos x="0" y="0"/>
            <wp:positionH relativeFrom="page">
              <wp:posOffset>5813890</wp:posOffset>
            </wp:positionH>
            <wp:positionV relativeFrom="paragraph">
              <wp:posOffset>184573</wp:posOffset>
            </wp:positionV>
            <wp:extent cx="208559" cy="210026"/>
            <wp:effectExtent l="0" t="0" r="0" b="0"/>
            <wp:wrapTopAndBottom/>
            <wp:docPr id="120" name="Image 120"/>
            <wp:cNvGraphicFramePr>
              <a:graphicFrameLocks/>
            </wp:cNvGraphicFramePr>
            <a:graphic>
              <a:graphicData uri="http://schemas.openxmlformats.org/drawingml/2006/picture">
                <pic:pic>
                  <pic:nvPicPr>
                    <pic:cNvPr id="120" name="Image 120"/>
                    <pic:cNvPicPr/>
                  </pic:nvPicPr>
                  <pic:blipFill>
                    <a:blip r:embed="rId59" cstate="print"/>
                    <a:stretch>
                      <a:fillRect/>
                    </a:stretch>
                  </pic:blipFill>
                  <pic:spPr>
                    <a:xfrm>
                      <a:off x="0" y="0"/>
                      <a:ext cx="208559" cy="210026"/>
                    </a:xfrm>
                    <a:prstGeom prst="rect">
                      <a:avLst/>
                    </a:prstGeom>
                  </pic:spPr>
                </pic:pic>
              </a:graphicData>
            </a:graphic>
          </wp:anchor>
        </w:drawing>
      </w:r>
      <w:r>
        <w:rPr>
          <w:rFonts w:ascii="Calibri"/>
          <w:color w:val="585858"/>
          <w:spacing w:val="-5"/>
          <w:sz w:val="18"/>
        </w:rPr>
        <w:t>0%</w:t>
      </w:r>
    </w:p>
    <w:p>
      <w:pPr>
        <w:tabs>
          <w:tab w:pos="1362" w:val="left" w:leader="none"/>
        </w:tabs>
        <w:spacing w:before="115"/>
        <w:ind w:left="0" w:right="974" w:firstLine="0"/>
        <w:jc w:val="center"/>
        <w:rPr>
          <w:rFonts w:ascii="Calibri"/>
          <w:sz w:val="20"/>
        </w:rPr>
      </w:pPr>
      <w:r>
        <w:rPr/>
        <w:drawing>
          <wp:inline distT="0" distB="0" distL="0" distR="0">
            <wp:extent cx="69752" cy="69752"/>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60" cstate="print"/>
                    <a:stretch>
                      <a:fillRect/>
                    </a:stretch>
                  </pic:blipFill>
                  <pic:spPr>
                    <a:xfrm>
                      <a:off x="0" y="0"/>
                      <a:ext cx="69752" cy="69752"/>
                    </a:xfrm>
                    <a:prstGeom prst="rect">
                      <a:avLst/>
                    </a:prstGeom>
                  </pic:spPr>
                </pic:pic>
              </a:graphicData>
            </a:graphic>
          </wp:inline>
        </w:drawing>
      </w:r>
      <w:r>
        <w:rPr/>
      </w:r>
      <w:r>
        <w:rPr>
          <w:rFonts w:ascii="Times New Roman"/>
          <w:sz w:val="20"/>
        </w:rPr>
        <w:t> </w:t>
      </w:r>
      <w:r>
        <w:rPr>
          <w:rFonts w:ascii="Calibri"/>
          <w:color w:val="585858"/>
          <w:sz w:val="20"/>
        </w:rPr>
        <w:t>Bed Leases</w:t>
        <w:tab/>
      </w:r>
      <w:r>
        <w:rPr>
          <w:rFonts w:ascii="Calibri"/>
          <w:color w:val="585858"/>
          <w:sz w:val="20"/>
        </w:rPr>
        <w:drawing>
          <wp:inline distT="0" distB="0" distL="0" distR="0">
            <wp:extent cx="69752" cy="69752"/>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52" cstate="print"/>
                    <a:stretch>
                      <a:fillRect/>
                    </a:stretch>
                  </pic:blipFill>
                  <pic:spPr>
                    <a:xfrm>
                      <a:off x="0" y="0"/>
                      <a:ext cx="69752" cy="69752"/>
                    </a:xfrm>
                    <a:prstGeom prst="rect">
                      <a:avLst/>
                    </a:prstGeom>
                  </pic:spPr>
                </pic:pic>
              </a:graphicData>
            </a:graphic>
          </wp:inline>
        </w:drawing>
      </w:r>
      <w:r>
        <w:rPr>
          <w:rFonts w:ascii="Calibri"/>
          <w:color w:val="585858"/>
          <w:sz w:val="20"/>
        </w:rPr>
      </w:r>
      <w:r>
        <w:rPr>
          <w:rFonts w:ascii="Times New Roman"/>
          <w:color w:val="585858"/>
          <w:spacing w:val="-1"/>
          <w:sz w:val="20"/>
        </w:rPr>
        <w:t> </w:t>
      </w:r>
      <w:r>
        <w:rPr>
          <w:rFonts w:ascii="Calibri"/>
          <w:color w:val="585858"/>
          <w:sz w:val="20"/>
        </w:rPr>
        <w:t>Unit Leases</w:t>
      </w:r>
    </w:p>
    <w:p>
      <w:pPr>
        <w:spacing w:before="61"/>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3"/>
          <w:sz w:val="16"/>
        </w:rPr>
        <w:t> </w:t>
      </w:r>
      <w:r>
        <w:rPr>
          <w:rFonts w:ascii="Arial MT"/>
          <w:spacing w:val="-2"/>
          <w:sz w:val="16"/>
        </w:rPr>
        <w:t>2021.</w:t>
      </w:r>
    </w:p>
    <w:p>
      <w:pPr>
        <w:pStyle w:val="BodyText"/>
        <w:spacing w:before="97"/>
        <w:rPr>
          <w:rFonts w:ascii="Arial MT"/>
        </w:rPr>
      </w:pPr>
    </w:p>
    <w:p>
      <w:pPr>
        <w:pStyle w:val="BodyText"/>
        <w:spacing w:line="288" w:lineRule="auto"/>
        <w:ind w:left="1008" w:right="1168"/>
      </w:pPr>
      <w:r>
        <w:rPr/>
        <w:t>The</w:t>
      </w:r>
      <w:r>
        <w:rPr>
          <w:spacing w:val="-12"/>
        </w:rPr>
        <w:t> </w:t>
      </w:r>
      <w:r>
        <w:rPr/>
        <w:t>2020</w:t>
      </w:r>
      <w:r>
        <w:rPr>
          <w:spacing w:val="-12"/>
        </w:rPr>
        <w:t> </w:t>
      </w:r>
      <w:r>
        <w:rPr/>
        <w:t>survey</w:t>
      </w:r>
      <w:r>
        <w:rPr>
          <w:spacing w:val="-13"/>
        </w:rPr>
        <w:t> </w:t>
      </w:r>
      <w:r>
        <w:rPr/>
        <w:t>also</w:t>
      </w:r>
      <w:r>
        <w:rPr>
          <w:spacing w:val="-10"/>
        </w:rPr>
        <w:t> </w:t>
      </w:r>
      <w:r>
        <w:rPr/>
        <w:t>questioned</w:t>
      </w:r>
      <w:r>
        <w:rPr>
          <w:spacing w:val="-10"/>
        </w:rPr>
        <w:t> </w:t>
      </w:r>
      <w:r>
        <w:rPr/>
        <w:t>respondents</w:t>
      </w:r>
      <w:r>
        <w:rPr>
          <w:spacing w:val="-10"/>
        </w:rPr>
        <w:t> </w:t>
      </w:r>
      <w:r>
        <w:rPr/>
        <w:t>regarding</w:t>
      </w:r>
      <w:r>
        <w:rPr>
          <w:spacing w:val="-10"/>
        </w:rPr>
        <w:t> </w:t>
      </w:r>
      <w:r>
        <w:rPr/>
        <w:t>the</w:t>
      </w:r>
      <w:r>
        <w:rPr>
          <w:spacing w:val="-10"/>
        </w:rPr>
        <w:t> </w:t>
      </w:r>
      <w:r>
        <w:rPr/>
        <w:t>amenities</w:t>
      </w:r>
      <w:r>
        <w:rPr>
          <w:spacing w:val="-10"/>
        </w:rPr>
        <w:t> </w:t>
      </w:r>
      <w:r>
        <w:rPr/>
        <w:t>offered</w:t>
      </w:r>
      <w:r>
        <w:rPr>
          <w:spacing w:val="-12"/>
        </w:rPr>
        <w:t> </w:t>
      </w:r>
      <w:r>
        <w:rPr/>
        <w:t>on-site,</w:t>
      </w:r>
      <w:r>
        <w:rPr>
          <w:spacing w:val="-12"/>
        </w:rPr>
        <w:t> </w:t>
      </w:r>
      <w:r>
        <w:rPr/>
        <w:t>such as gym</w:t>
      </w:r>
      <w:r>
        <w:rPr>
          <w:spacing w:val="-2"/>
        </w:rPr>
        <w:t> </w:t>
      </w:r>
      <w:r>
        <w:rPr/>
        <w:t>or pool</w:t>
      </w:r>
      <w:r>
        <w:rPr>
          <w:spacing w:val="-3"/>
        </w:rPr>
        <w:t> </w:t>
      </w:r>
      <w:r>
        <w:rPr/>
        <w:t>facilities,</w:t>
      </w:r>
      <w:r>
        <w:rPr>
          <w:spacing w:val="-3"/>
        </w:rPr>
        <w:t> </w:t>
      </w:r>
      <w:r>
        <w:rPr/>
        <w:t>and services provided by the property management</w:t>
      </w:r>
      <w:r>
        <w:rPr>
          <w:spacing w:val="-1"/>
        </w:rPr>
        <w:t> </w:t>
      </w:r>
      <w:r>
        <w:rPr/>
        <w:t>staff, such</w:t>
      </w:r>
      <w:r>
        <w:rPr>
          <w:spacing w:val="-2"/>
        </w:rPr>
        <w:t> </w:t>
      </w:r>
      <w:r>
        <w:rPr/>
        <w:t>as package</w:t>
      </w:r>
      <w:r>
        <w:rPr>
          <w:spacing w:val="-6"/>
        </w:rPr>
        <w:t> </w:t>
      </w:r>
      <w:r>
        <w:rPr/>
        <w:t>service</w:t>
      </w:r>
      <w:r>
        <w:rPr>
          <w:spacing w:val="-6"/>
        </w:rPr>
        <w:t> </w:t>
      </w:r>
      <w:r>
        <w:rPr/>
        <w:t>and</w:t>
      </w:r>
      <w:r>
        <w:rPr>
          <w:spacing w:val="-8"/>
        </w:rPr>
        <w:t> </w:t>
      </w:r>
      <w:r>
        <w:rPr/>
        <w:t>organized</w:t>
      </w:r>
      <w:r>
        <w:rPr>
          <w:spacing w:val="-7"/>
        </w:rPr>
        <w:t> </w:t>
      </w:r>
      <w:r>
        <w:rPr/>
        <w:t>social</w:t>
      </w:r>
      <w:r>
        <w:rPr>
          <w:spacing w:val="-9"/>
        </w:rPr>
        <w:t> </w:t>
      </w:r>
      <w:r>
        <w:rPr/>
        <w:t>activities.</w:t>
      </w:r>
      <w:r>
        <w:rPr>
          <w:spacing w:val="40"/>
        </w:rPr>
        <w:t> </w:t>
      </w:r>
      <w:r>
        <w:rPr/>
        <w:t>Figure</w:t>
      </w:r>
      <w:r>
        <w:rPr>
          <w:spacing w:val="-6"/>
        </w:rPr>
        <w:t> </w:t>
      </w:r>
      <w:r>
        <w:rPr/>
        <w:t>7</w:t>
      </w:r>
      <w:r>
        <w:rPr>
          <w:spacing w:val="-6"/>
        </w:rPr>
        <w:t> </w:t>
      </w:r>
      <w:r>
        <w:rPr/>
        <w:t>illustrates</w:t>
      </w:r>
      <w:r>
        <w:rPr>
          <w:spacing w:val="-6"/>
        </w:rPr>
        <w:t> </w:t>
      </w:r>
      <w:r>
        <w:rPr/>
        <w:t>the</w:t>
      </w:r>
      <w:r>
        <w:rPr>
          <w:spacing w:val="-6"/>
        </w:rPr>
        <w:t> </w:t>
      </w:r>
      <w:r>
        <w:rPr/>
        <w:t>prevalence</w:t>
      </w:r>
      <w:r>
        <w:rPr>
          <w:spacing w:val="-8"/>
        </w:rPr>
        <w:t> </w:t>
      </w:r>
      <w:r>
        <w:rPr/>
        <w:t>of</w:t>
      </w:r>
      <w:r>
        <w:rPr>
          <w:spacing w:val="-5"/>
        </w:rPr>
        <w:t> </w:t>
      </w:r>
      <w:r>
        <w:rPr/>
        <w:t>these amenities,</w:t>
      </w:r>
      <w:r>
        <w:rPr>
          <w:spacing w:val="-1"/>
        </w:rPr>
        <w:t> </w:t>
      </w:r>
      <w:r>
        <w:rPr/>
        <w:t>differentiating</w:t>
      </w:r>
      <w:r>
        <w:rPr>
          <w:spacing w:val="-1"/>
        </w:rPr>
        <w:t> </w:t>
      </w:r>
      <w:r>
        <w:rPr/>
        <w:t>between complexes that offer</w:t>
      </w:r>
      <w:r>
        <w:rPr>
          <w:spacing w:val="-1"/>
        </w:rPr>
        <w:t> </w:t>
      </w:r>
      <w:r>
        <w:rPr/>
        <w:t>unit leases versus bed leases.</w:t>
      </w:r>
    </w:p>
    <w:p>
      <w:pPr>
        <w:pStyle w:val="BodyText"/>
        <w:spacing w:line="288" w:lineRule="auto" w:before="3"/>
        <w:ind w:left="1008" w:right="1029"/>
      </w:pPr>
      <w:r>
        <w:rPr/>
        <w:t>Overall, respondents that</w:t>
      </w:r>
      <w:r>
        <w:rPr>
          <w:spacing w:val="-2"/>
        </w:rPr>
        <w:t> </w:t>
      </w:r>
      <w:r>
        <w:rPr/>
        <w:t>offer unit leases generally</w:t>
      </w:r>
      <w:r>
        <w:rPr>
          <w:spacing w:val="-2"/>
        </w:rPr>
        <w:t> </w:t>
      </w:r>
      <w:r>
        <w:rPr/>
        <w:t>tend to offer fewer</w:t>
      </w:r>
      <w:r>
        <w:rPr>
          <w:spacing w:val="-1"/>
        </w:rPr>
        <w:t> </w:t>
      </w:r>
      <w:r>
        <w:rPr/>
        <w:t>amenities.</w:t>
      </w:r>
      <w:r>
        <w:rPr>
          <w:spacing w:val="40"/>
        </w:rPr>
        <w:t> </w:t>
      </w:r>
      <w:r>
        <w:rPr/>
        <w:t>For example,</w:t>
      </w:r>
      <w:r>
        <w:rPr>
          <w:spacing w:val="-2"/>
        </w:rPr>
        <w:t> </w:t>
      </w:r>
      <w:r>
        <w:rPr/>
        <w:t>55</w:t>
      </w:r>
      <w:r>
        <w:rPr>
          <w:spacing w:val="-2"/>
        </w:rPr>
        <w:t> </w:t>
      </w:r>
      <w:r>
        <w:rPr/>
        <w:t>percent</w:t>
      </w:r>
      <w:r>
        <w:rPr>
          <w:spacing w:val="-6"/>
        </w:rPr>
        <w:t> </w:t>
      </w:r>
      <w:r>
        <w:rPr/>
        <w:t>offer</w:t>
      </w:r>
      <w:r>
        <w:rPr>
          <w:spacing w:val="-5"/>
        </w:rPr>
        <w:t> </w:t>
      </w:r>
      <w:r>
        <w:rPr/>
        <w:t>a</w:t>
      </w:r>
      <w:r>
        <w:rPr>
          <w:spacing w:val="-2"/>
        </w:rPr>
        <w:t> </w:t>
      </w:r>
      <w:r>
        <w:rPr/>
        <w:t>pool</w:t>
      </w:r>
      <w:r>
        <w:rPr>
          <w:spacing w:val="-5"/>
        </w:rPr>
        <w:t> </w:t>
      </w:r>
      <w:r>
        <w:rPr/>
        <w:t>and/or</w:t>
      </w:r>
      <w:r>
        <w:rPr>
          <w:spacing w:val="-2"/>
        </w:rPr>
        <w:t> </w:t>
      </w:r>
      <w:r>
        <w:rPr/>
        <w:t>hot</w:t>
      </w:r>
      <w:r>
        <w:rPr>
          <w:spacing w:val="-3"/>
        </w:rPr>
        <w:t> </w:t>
      </w:r>
      <w:r>
        <w:rPr/>
        <w:t>tub,</w:t>
      </w:r>
      <w:r>
        <w:rPr>
          <w:spacing w:val="-2"/>
        </w:rPr>
        <w:t> </w:t>
      </w:r>
      <w:r>
        <w:rPr/>
        <w:t>while</w:t>
      </w:r>
      <w:r>
        <w:rPr>
          <w:spacing w:val="-2"/>
        </w:rPr>
        <w:t> </w:t>
      </w:r>
      <w:r>
        <w:rPr/>
        <w:t>49</w:t>
      </w:r>
      <w:r>
        <w:rPr>
          <w:spacing w:val="-2"/>
        </w:rPr>
        <w:t> </w:t>
      </w:r>
      <w:r>
        <w:rPr/>
        <w:t>percent</w:t>
      </w:r>
      <w:r>
        <w:rPr>
          <w:spacing w:val="-2"/>
        </w:rPr>
        <w:t> </w:t>
      </w:r>
      <w:r>
        <w:rPr/>
        <w:t>offer</w:t>
      </w:r>
      <w:r>
        <w:rPr>
          <w:spacing w:val="-5"/>
        </w:rPr>
        <w:t> </w:t>
      </w:r>
      <w:r>
        <w:rPr/>
        <w:t>a</w:t>
      </w:r>
      <w:r>
        <w:rPr>
          <w:spacing w:val="-2"/>
        </w:rPr>
        <w:t> </w:t>
      </w:r>
      <w:r>
        <w:rPr/>
        <w:t>picnic</w:t>
      </w:r>
      <w:r>
        <w:rPr>
          <w:spacing w:val="-2"/>
        </w:rPr>
        <w:t> </w:t>
      </w:r>
      <w:r>
        <w:rPr/>
        <w:t>or</w:t>
      </w:r>
      <w:r>
        <w:rPr>
          <w:spacing w:val="-3"/>
        </w:rPr>
        <w:t> </w:t>
      </w:r>
      <w:r>
        <w:rPr/>
        <w:t>BBQ</w:t>
      </w:r>
      <w:r>
        <w:rPr>
          <w:spacing w:val="-5"/>
        </w:rPr>
        <w:t> </w:t>
      </w:r>
      <w:r>
        <w:rPr/>
        <w:t>area, and 35 percent offer on-site gym facilities</w:t>
      </w:r>
      <w:r>
        <w:rPr>
          <w:spacing w:val="-1"/>
        </w:rPr>
        <w:t> </w:t>
      </w:r>
      <w:r>
        <w:rPr/>
        <w:t>and club</w:t>
      </w:r>
      <w:r>
        <w:rPr>
          <w:spacing w:val="-2"/>
        </w:rPr>
        <w:t> </w:t>
      </w:r>
      <w:r>
        <w:rPr/>
        <w:t>houses.</w:t>
      </w:r>
      <w:r>
        <w:rPr>
          <w:spacing w:val="40"/>
        </w:rPr>
        <w:t> </w:t>
      </w:r>
      <w:r>
        <w:rPr/>
        <w:t>The most prevalent amenity offered by</w:t>
      </w:r>
      <w:r>
        <w:rPr>
          <w:spacing w:val="-2"/>
        </w:rPr>
        <w:t> </w:t>
      </w:r>
      <w:r>
        <w:rPr/>
        <w:t>unit lease</w:t>
      </w:r>
      <w:r>
        <w:rPr>
          <w:spacing w:val="-1"/>
        </w:rPr>
        <w:t> </w:t>
      </w:r>
      <w:r>
        <w:rPr/>
        <w:t>complexes is an on-site laundry facility.</w:t>
      </w:r>
      <w:r>
        <w:rPr>
          <w:spacing w:val="40"/>
        </w:rPr>
        <w:t> </w:t>
      </w:r>
      <w:r>
        <w:rPr/>
        <w:t>Respondents that offer bed leases</w:t>
      </w:r>
      <w:r>
        <w:rPr>
          <w:spacing w:val="-2"/>
        </w:rPr>
        <w:t> </w:t>
      </w:r>
      <w:r>
        <w:rPr/>
        <w:t>were</w:t>
      </w:r>
      <w:r>
        <w:rPr>
          <w:spacing w:val="-2"/>
        </w:rPr>
        <w:t> </w:t>
      </w:r>
      <w:r>
        <w:rPr/>
        <w:t>more</w:t>
      </w:r>
      <w:r>
        <w:rPr>
          <w:spacing w:val="-2"/>
        </w:rPr>
        <w:t> </w:t>
      </w:r>
      <w:r>
        <w:rPr/>
        <w:t>likely</w:t>
      </w:r>
      <w:r>
        <w:rPr>
          <w:spacing w:val="-2"/>
        </w:rPr>
        <w:t> </w:t>
      </w:r>
      <w:r>
        <w:rPr/>
        <w:t>to</w:t>
      </w:r>
      <w:r>
        <w:rPr>
          <w:spacing w:val="-4"/>
        </w:rPr>
        <w:t> </w:t>
      </w:r>
      <w:r>
        <w:rPr/>
        <w:t>offer</w:t>
      </w:r>
      <w:r>
        <w:rPr>
          <w:spacing w:val="-3"/>
        </w:rPr>
        <w:t> </w:t>
      </w:r>
      <w:r>
        <w:rPr/>
        <w:t>a</w:t>
      </w:r>
      <w:r>
        <w:rPr>
          <w:spacing w:val="-2"/>
        </w:rPr>
        <w:t> </w:t>
      </w:r>
      <w:r>
        <w:rPr/>
        <w:t>wider</w:t>
      </w:r>
      <w:r>
        <w:rPr>
          <w:spacing w:val="-5"/>
        </w:rPr>
        <w:t> </w:t>
      </w:r>
      <w:r>
        <w:rPr/>
        <w:t>assortment</w:t>
      </w:r>
      <w:r>
        <w:rPr>
          <w:spacing w:val="-6"/>
        </w:rPr>
        <w:t> </w:t>
      </w:r>
      <w:r>
        <w:rPr/>
        <w:t>of</w:t>
      </w:r>
      <w:r>
        <w:rPr>
          <w:spacing w:val="-2"/>
        </w:rPr>
        <w:t> </w:t>
      </w:r>
      <w:r>
        <w:rPr/>
        <w:t>on-site</w:t>
      </w:r>
      <w:r>
        <w:rPr>
          <w:spacing w:val="-2"/>
        </w:rPr>
        <w:t> </w:t>
      </w:r>
      <w:r>
        <w:rPr/>
        <w:t>amenities,</w:t>
      </w:r>
      <w:r>
        <w:rPr>
          <w:spacing w:val="-2"/>
        </w:rPr>
        <w:t> </w:t>
      </w:r>
      <w:r>
        <w:rPr/>
        <w:t>with</w:t>
      </w:r>
      <w:r>
        <w:rPr>
          <w:spacing w:val="-4"/>
        </w:rPr>
        <w:t> </w:t>
      </w:r>
      <w:r>
        <w:rPr/>
        <w:t>most respondents offering multiple types of equipment,</w:t>
      </w:r>
      <w:r>
        <w:rPr>
          <w:spacing w:val="-3"/>
        </w:rPr>
        <w:t> </w:t>
      </w:r>
      <w:r>
        <w:rPr/>
        <w:t>facilities, and</w:t>
      </w:r>
      <w:r>
        <w:rPr>
          <w:spacing w:val="-2"/>
        </w:rPr>
        <w:t> </w:t>
      </w:r>
      <w:r>
        <w:rPr/>
        <w:t>services.</w:t>
      </w:r>
      <w:r>
        <w:rPr>
          <w:spacing w:val="40"/>
        </w:rPr>
        <w:t> </w:t>
      </w:r>
      <w:r>
        <w:rPr/>
        <w:t>For</w:t>
      </w:r>
      <w:r>
        <w:rPr>
          <w:spacing w:val="-3"/>
        </w:rPr>
        <w:t> </w:t>
      </w:r>
      <w:r>
        <w:rPr/>
        <w:t>example, 89 percent</w:t>
      </w:r>
      <w:r>
        <w:rPr>
          <w:spacing w:val="-9"/>
        </w:rPr>
        <w:t> </w:t>
      </w:r>
      <w:r>
        <w:rPr/>
        <w:t>of</w:t>
      </w:r>
      <w:r>
        <w:rPr>
          <w:spacing w:val="-8"/>
        </w:rPr>
        <w:t> </w:t>
      </w:r>
      <w:r>
        <w:rPr/>
        <w:t>complexes</w:t>
      </w:r>
      <w:r>
        <w:rPr>
          <w:spacing w:val="-8"/>
        </w:rPr>
        <w:t> </w:t>
      </w:r>
      <w:r>
        <w:rPr/>
        <w:t>that</w:t>
      </w:r>
      <w:r>
        <w:rPr>
          <w:spacing w:val="-12"/>
        </w:rPr>
        <w:t> </w:t>
      </w:r>
      <w:r>
        <w:rPr/>
        <w:t>offer</w:t>
      </w:r>
      <w:r>
        <w:rPr>
          <w:spacing w:val="-9"/>
        </w:rPr>
        <w:t> </w:t>
      </w:r>
      <w:r>
        <w:rPr/>
        <w:t>bed</w:t>
      </w:r>
      <w:r>
        <w:rPr>
          <w:spacing w:val="-8"/>
        </w:rPr>
        <w:t> </w:t>
      </w:r>
      <w:r>
        <w:rPr/>
        <w:t>leases</w:t>
      </w:r>
      <w:r>
        <w:rPr>
          <w:spacing w:val="-10"/>
        </w:rPr>
        <w:t> </w:t>
      </w:r>
      <w:r>
        <w:rPr/>
        <w:t>also</w:t>
      </w:r>
      <w:r>
        <w:rPr>
          <w:spacing w:val="-8"/>
        </w:rPr>
        <w:t> </w:t>
      </w:r>
      <w:r>
        <w:rPr/>
        <w:t>offer</w:t>
      </w:r>
      <w:r>
        <w:rPr>
          <w:spacing w:val="-9"/>
        </w:rPr>
        <w:t> </w:t>
      </w:r>
      <w:r>
        <w:rPr/>
        <w:t>a</w:t>
      </w:r>
      <w:r>
        <w:rPr>
          <w:spacing w:val="-8"/>
        </w:rPr>
        <w:t> </w:t>
      </w:r>
      <w:r>
        <w:rPr/>
        <w:t>picnic</w:t>
      </w:r>
      <w:r>
        <w:rPr>
          <w:spacing w:val="-10"/>
        </w:rPr>
        <w:t> </w:t>
      </w:r>
      <w:r>
        <w:rPr/>
        <w:t>or</w:t>
      </w:r>
      <w:r>
        <w:rPr>
          <w:spacing w:val="-8"/>
        </w:rPr>
        <w:t> </w:t>
      </w:r>
      <w:r>
        <w:rPr/>
        <w:t>BBQ</w:t>
      </w:r>
      <w:r>
        <w:rPr>
          <w:spacing w:val="-11"/>
        </w:rPr>
        <w:t> </w:t>
      </w:r>
      <w:r>
        <w:rPr/>
        <w:t>area,</w:t>
      </w:r>
      <w:r>
        <w:rPr>
          <w:spacing w:val="-11"/>
        </w:rPr>
        <w:t> </w:t>
      </w:r>
      <w:r>
        <w:rPr/>
        <w:t>88</w:t>
      </w:r>
      <w:r>
        <w:rPr>
          <w:spacing w:val="-10"/>
        </w:rPr>
        <w:t> </w:t>
      </w:r>
      <w:r>
        <w:rPr/>
        <w:t>percent</w:t>
      </w:r>
      <w:r>
        <w:rPr>
          <w:spacing w:val="-9"/>
        </w:rPr>
        <w:t> </w:t>
      </w:r>
      <w:r>
        <w:rPr/>
        <w:t>provide a pool and/or hot tub onsite, 82 percent offer an on-site gym, business center, and planned social activities,</w:t>
      </w:r>
      <w:r>
        <w:rPr>
          <w:spacing w:val="-2"/>
        </w:rPr>
        <w:t> </w:t>
      </w:r>
      <w:r>
        <w:rPr/>
        <w:t>and 76 percent include a</w:t>
      </w:r>
      <w:r>
        <w:rPr>
          <w:spacing w:val="-1"/>
        </w:rPr>
        <w:t> </w:t>
      </w:r>
      <w:r>
        <w:rPr/>
        <w:t>club house.</w:t>
      </w:r>
      <w:r>
        <w:rPr>
          <w:spacing w:val="40"/>
        </w:rPr>
        <w:t> </w:t>
      </w:r>
      <w:r>
        <w:rPr/>
        <w:t>Of the respondents who offered other additional services, most offer study lounges, pet amenities, and sport courts.</w:t>
      </w:r>
    </w:p>
    <w:p>
      <w:pPr>
        <w:pStyle w:val="BodyText"/>
        <w:spacing w:after="0" w:line="288" w:lineRule="auto"/>
        <w:sectPr>
          <w:pgSz w:w="12240" w:h="15840"/>
          <w:pgMar w:header="0" w:footer="502" w:top="1700" w:bottom="700" w:left="720" w:right="720"/>
        </w:sectPr>
      </w:pPr>
    </w:p>
    <w:p>
      <w:pPr>
        <w:spacing w:before="78"/>
        <w:ind w:left="1008" w:right="0" w:firstLine="0"/>
        <w:jc w:val="left"/>
        <w:rPr>
          <w:i/>
          <w:sz w:val="22"/>
        </w:rPr>
      </w:pPr>
      <w:r>
        <w:rPr>
          <w:i/>
          <w:sz w:val="22"/>
        </w:rPr>
        <w:t>Figure</w:t>
      </w:r>
      <w:r>
        <w:rPr>
          <w:i/>
          <w:spacing w:val="-10"/>
          <w:sz w:val="22"/>
        </w:rPr>
        <w:t> </w:t>
      </w:r>
      <w:r>
        <w:rPr>
          <w:i/>
          <w:sz w:val="22"/>
        </w:rPr>
        <w:t>7:</w:t>
      </w:r>
      <w:r>
        <w:rPr>
          <w:i/>
          <w:spacing w:val="36"/>
          <w:sz w:val="22"/>
        </w:rPr>
        <w:t> </w:t>
      </w:r>
      <w:r>
        <w:rPr>
          <w:i/>
          <w:sz w:val="22"/>
        </w:rPr>
        <w:t>Percent</w:t>
      </w:r>
      <w:r>
        <w:rPr>
          <w:i/>
          <w:spacing w:val="-13"/>
          <w:sz w:val="22"/>
        </w:rPr>
        <w:t> </w:t>
      </w:r>
      <w:r>
        <w:rPr>
          <w:i/>
          <w:sz w:val="22"/>
        </w:rPr>
        <w:t>of</w:t>
      </w:r>
      <w:r>
        <w:rPr>
          <w:i/>
          <w:spacing w:val="-9"/>
          <w:sz w:val="22"/>
        </w:rPr>
        <w:t> </w:t>
      </w:r>
      <w:r>
        <w:rPr>
          <w:i/>
          <w:sz w:val="22"/>
        </w:rPr>
        <w:t>Respondents</w:t>
      </w:r>
      <w:r>
        <w:rPr>
          <w:i/>
          <w:spacing w:val="-10"/>
          <w:sz w:val="22"/>
        </w:rPr>
        <w:t> </w:t>
      </w:r>
      <w:r>
        <w:rPr>
          <w:i/>
          <w:sz w:val="22"/>
        </w:rPr>
        <w:t>Offering</w:t>
      </w:r>
      <w:r>
        <w:rPr>
          <w:i/>
          <w:spacing w:val="-11"/>
          <w:sz w:val="22"/>
        </w:rPr>
        <w:t> </w:t>
      </w:r>
      <w:r>
        <w:rPr>
          <w:i/>
          <w:sz w:val="22"/>
        </w:rPr>
        <w:t>Select</w:t>
      </w:r>
      <w:r>
        <w:rPr>
          <w:i/>
          <w:spacing w:val="-12"/>
          <w:sz w:val="22"/>
        </w:rPr>
        <w:t> </w:t>
      </w:r>
      <w:r>
        <w:rPr>
          <w:i/>
          <w:sz w:val="22"/>
        </w:rPr>
        <w:t>Amenities</w:t>
      </w:r>
      <w:r>
        <w:rPr>
          <w:i/>
          <w:spacing w:val="-10"/>
          <w:sz w:val="22"/>
        </w:rPr>
        <w:t> </w:t>
      </w:r>
      <w:r>
        <w:rPr>
          <w:i/>
          <w:sz w:val="22"/>
        </w:rPr>
        <w:t>by</w:t>
      </w:r>
      <w:r>
        <w:rPr>
          <w:i/>
          <w:spacing w:val="-10"/>
          <w:sz w:val="22"/>
        </w:rPr>
        <w:t> </w:t>
      </w:r>
      <w:r>
        <w:rPr>
          <w:i/>
          <w:sz w:val="22"/>
        </w:rPr>
        <w:t>Lease</w:t>
      </w:r>
      <w:r>
        <w:rPr>
          <w:i/>
          <w:spacing w:val="-10"/>
          <w:sz w:val="22"/>
        </w:rPr>
        <w:t> </w:t>
      </w:r>
      <w:r>
        <w:rPr>
          <w:i/>
          <w:spacing w:val="-4"/>
          <w:sz w:val="22"/>
        </w:rPr>
        <w:t>Type</w:t>
      </w:r>
    </w:p>
    <w:p>
      <w:pPr>
        <w:pStyle w:val="BodyText"/>
        <w:spacing w:before="51"/>
        <w:rPr>
          <w:i/>
        </w:rPr>
      </w:pPr>
    </w:p>
    <w:p>
      <w:pPr>
        <w:spacing w:before="0"/>
        <w:ind w:left="1390"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45536">
                <wp:simplePos x="0" y="0"/>
                <wp:positionH relativeFrom="page">
                  <wp:posOffset>1691633</wp:posOffset>
                </wp:positionH>
                <wp:positionV relativeFrom="paragraph">
                  <wp:posOffset>-40809</wp:posOffset>
                </wp:positionV>
                <wp:extent cx="4771390" cy="1552575"/>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4771390" cy="1552575"/>
                          <a:chExt cx="4771390" cy="1552575"/>
                        </a:xfrm>
                      </wpg:grpSpPr>
                      <pic:pic>
                        <pic:nvPicPr>
                          <pic:cNvPr id="124" name="Image 124"/>
                          <pic:cNvPicPr/>
                        </pic:nvPicPr>
                        <pic:blipFill>
                          <a:blip r:embed="rId61" cstate="print"/>
                          <a:stretch>
                            <a:fillRect/>
                          </a:stretch>
                        </pic:blipFill>
                        <pic:spPr>
                          <a:xfrm>
                            <a:off x="0" y="33103"/>
                            <a:ext cx="4770905" cy="1518909"/>
                          </a:xfrm>
                          <a:prstGeom prst="rect">
                            <a:avLst/>
                          </a:prstGeom>
                        </pic:spPr>
                      </pic:pic>
                      <wps:wsp>
                        <wps:cNvPr id="125" name="Textbox 125"/>
                        <wps:cNvSpPr txBox="1"/>
                        <wps:spPr>
                          <a:xfrm>
                            <a:off x="117100" y="16852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82%</w:t>
                              </w:r>
                            </w:p>
                          </w:txbxContent>
                        </wps:txbx>
                        <wps:bodyPr wrap="square" lIns="0" tIns="0" rIns="0" bIns="0" rtlCol="0">
                          <a:noAutofit/>
                        </wps:bodyPr>
                      </wps:wsp>
                      <wps:wsp>
                        <wps:cNvPr id="126" name="Textbox 126"/>
                        <wps:cNvSpPr txBox="1"/>
                        <wps:spPr>
                          <a:xfrm>
                            <a:off x="583444" y="8407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88%</w:t>
                              </w:r>
                            </w:p>
                          </w:txbxContent>
                        </wps:txbx>
                        <wps:bodyPr wrap="square" lIns="0" tIns="0" rIns="0" bIns="0" rtlCol="0">
                          <a:noAutofit/>
                        </wps:bodyPr>
                      </wps:wsp>
                      <wps:wsp>
                        <wps:cNvPr id="127" name="Textbox 127"/>
                        <wps:cNvSpPr txBox="1"/>
                        <wps:spPr>
                          <a:xfrm>
                            <a:off x="1515751" y="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94%</w:t>
                              </w:r>
                            </w:p>
                          </w:txbxContent>
                        </wps:txbx>
                        <wps:bodyPr wrap="square" lIns="0" tIns="0" rIns="0" bIns="0" rtlCol="0">
                          <a:noAutofit/>
                        </wps:bodyPr>
                      </wps:wsp>
                      <wps:wsp>
                        <wps:cNvPr id="128" name="Textbox 128"/>
                        <wps:cNvSpPr txBox="1"/>
                        <wps:spPr>
                          <a:xfrm>
                            <a:off x="2131193" y="161544"/>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85%</w:t>
                              </w:r>
                            </w:p>
                          </w:txbxContent>
                        </wps:txbx>
                        <wps:bodyPr wrap="square" lIns="0" tIns="0" rIns="0" bIns="0" rtlCol="0">
                          <a:noAutofit/>
                        </wps:bodyPr>
                      </wps:wsp>
                      <wps:wsp>
                        <wps:cNvPr id="129" name="Textbox 129"/>
                        <wps:cNvSpPr txBox="1"/>
                        <wps:spPr>
                          <a:xfrm>
                            <a:off x="1049407" y="25260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76%</w:t>
                              </w:r>
                            </w:p>
                          </w:txbxContent>
                        </wps:txbx>
                        <wps:bodyPr wrap="square" lIns="0" tIns="0" rIns="0" bIns="0" rtlCol="0">
                          <a:noAutofit/>
                        </wps:bodyPr>
                      </wps:wsp>
                      <wps:wsp>
                        <wps:cNvPr id="130" name="Textbox 130"/>
                        <wps:cNvSpPr txBox="1"/>
                        <wps:spPr>
                          <a:xfrm>
                            <a:off x="2914148" y="16852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82%</w:t>
                              </w:r>
                            </w:p>
                          </w:txbxContent>
                        </wps:txbx>
                        <wps:bodyPr wrap="square" lIns="0" tIns="0" rIns="0" bIns="0" rtlCol="0">
                          <a:noAutofit/>
                        </wps:bodyPr>
                      </wps:wsp>
                      <wps:wsp>
                        <wps:cNvPr id="131" name="Textbox 131"/>
                        <wps:cNvSpPr txBox="1"/>
                        <wps:spPr>
                          <a:xfrm>
                            <a:off x="3380492" y="168529"/>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82%</w:t>
                              </w:r>
                            </w:p>
                          </w:txbxContent>
                        </wps:txbx>
                        <wps:bodyPr wrap="square" lIns="0" tIns="0" rIns="0" bIns="0" rtlCol="0">
                          <a:noAutofit/>
                        </wps:bodyPr>
                      </wps:wsp>
                      <wps:wsp>
                        <wps:cNvPr id="132" name="Textbox 132"/>
                        <wps:cNvSpPr txBox="1"/>
                        <wps:spPr>
                          <a:xfrm>
                            <a:off x="779659" y="502538"/>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60%</w:t>
                              </w:r>
                            </w:p>
                          </w:txbxContent>
                        </wps:txbx>
                        <wps:bodyPr wrap="square" lIns="0" tIns="0" rIns="0" bIns="0" rtlCol="0">
                          <a:noAutofit/>
                        </wps:bodyPr>
                      </wps:wsp>
                      <wps:wsp>
                        <wps:cNvPr id="133" name="Textbox 133"/>
                        <wps:cNvSpPr txBox="1"/>
                        <wps:spPr>
                          <a:xfrm>
                            <a:off x="1981841" y="50558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59%</w:t>
                              </w:r>
                            </w:p>
                          </w:txbxContent>
                        </wps:txbx>
                        <wps:bodyPr wrap="square" lIns="0" tIns="0" rIns="0" bIns="0" rtlCol="0">
                          <a:noAutofit/>
                        </wps:bodyPr>
                      </wps:wsp>
                      <wps:wsp>
                        <wps:cNvPr id="134" name="Textbox 134"/>
                        <wps:cNvSpPr txBox="1"/>
                        <wps:spPr>
                          <a:xfrm>
                            <a:off x="2448185" y="505587"/>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59%</w:t>
                              </w:r>
                            </w:p>
                          </w:txbxContent>
                        </wps:txbx>
                        <wps:bodyPr wrap="square" lIns="0" tIns="0" rIns="0" bIns="0" rtlCol="0">
                          <a:noAutofit/>
                        </wps:bodyPr>
                      </wps:wsp>
                      <wps:wsp>
                        <wps:cNvPr id="135" name="Textbox 135"/>
                        <wps:cNvSpPr txBox="1"/>
                        <wps:spPr>
                          <a:xfrm>
                            <a:off x="1741303" y="666241"/>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49%</w:t>
                              </w:r>
                            </w:p>
                          </w:txbxContent>
                        </wps:txbx>
                        <wps:bodyPr wrap="square" lIns="0" tIns="0" rIns="0" bIns="0" rtlCol="0">
                          <a:noAutofit/>
                        </wps:bodyPr>
                      </wps:wsp>
                      <wps:wsp>
                        <wps:cNvPr id="136" name="Textbox 136"/>
                        <wps:cNvSpPr txBox="1"/>
                        <wps:spPr>
                          <a:xfrm>
                            <a:off x="342652" y="802512"/>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38%</w:t>
                              </w:r>
                            </w:p>
                          </w:txbxContent>
                        </wps:txbx>
                        <wps:bodyPr wrap="square" lIns="0" tIns="0" rIns="0" bIns="0" rtlCol="0">
                          <a:noAutofit/>
                        </wps:bodyPr>
                      </wps:wsp>
                      <wps:wsp>
                        <wps:cNvPr id="137" name="Textbox 137"/>
                        <wps:cNvSpPr txBox="1"/>
                        <wps:spPr>
                          <a:xfrm>
                            <a:off x="4312926" y="75857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41%</w:t>
                              </w:r>
                            </w:p>
                          </w:txbxContent>
                        </wps:txbx>
                        <wps:bodyPr wrap="square" lIns="0" tIns="0" rIns="0" bIns="0" rtlCol="0">
                          <a:noAutofit/>
                        </wps:bodyPr>
                      </wps:wsp>
                      <wps:wsp>
                        <wps:cNvPr id="138" name="Textbox 138"/>
                        <wps:cNvSpPr txBox="1"/>
                        <wps:spPr>
                          <a:xfrm>
                            <a:off x="1236859" y="939038"/>
                            <a:ext cx="2113915" cy="114935"/>
                          </a:xfrm>
                          <a:prstGeom prst="rect">
                            <a:avLst/>
                          </a:prstGeom>
                        </wps:spPr>
                        <wps:txbx>
                          <w:txbxContent>
                            <w:p>
                              <w:pPr>
                                <w:tabs>
                                  <w:tab w:pos="2997" w:val="left" w:leader="none"/>
                                </w:tabs>
                                <w:spacing w:line="181" w:lineRule="exact" w:before="0"/>
                                <w:ind w:left="0" w:right="0" w:firstLine="0"/>
                                <w:jc w:val="left"/>
                                <w:rPr>
                                  <w:rFonts w:ascii="Calibri"/>
                                  <w:sz w:val="18"/>
                                </w:rPr>
                              </w:pPr>
                              <w:r>
                                <w:rPr>
                                  <w:rFonts w:ascii="Calibri"/>
                                  <w:color w:val="404040"/>
                                  <w:spacing w:val="-5"/>
                                  <w:sz w:val="18"/>
                                </w:rPr>
                                <w:t>30%</w:t>
                              </w:r>
                              <w:r>
                                <w:rPr>
                                  <w:rFonts w:ascii="Calibri"/>
                                  <w:color w:val="404040"/>
                                  <w:sz w:val="18"/>
                                </w:rPr>
                                <w:tab/>
                              </w:r>
                              <w:r>
                                <w:rPr>
                                  <w:rFonts w:ascii="Calibri"/>
                                  <w:color w:val="404040"/>
                                  <w:spacing w:val="-5"/>
                                  <w:sz w:val="18"/>
                                </w:rPr>
                                <w:t>30%</w:t>
                              </w:r>
                            </w:p>
                          </w:txbxContent>
                        </wps:txbx>
                        <wps:bodyPr wrap="square" lIns="0" tIns="0" rIns="0" bIns="0" rtlCol="0">
                          <a:noAutofit/>
                        </wps:bodyPr>
                      </wps:wsp>
                      <wps:wsp>
                        <wps:cNvPr id="139" name="Textbox 139"/>
                        <wps:cNvSpPr txBox="1"/>
                        <wps:spPr>
                          <a:xfrm>
                            <a:off x="3606044" y="980186"/>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27%</w:t>
                              </w:r>
                            </w:p>
                          </w:txbxContent>
                        </wps:txbx>
                        <wps:bodyPr wrap="square" lIns="0" tIns="0" rIns="0" bIns="0" rtlCol="0">
                          <a:noAutofit/>
                        </wps:bodyPr>
                      </wps:wsp>
                      <wps:wsp>
                        <wps:cNvPr id="140" name="Textbox 140"/>
                        <wps:cNvSpPr txBox="1"/>
                        <wps:spPr>
                          <a:xfrm>
                            <a:off x="2635637" y="1075563"/>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18%</w:t>
                              </w:r>
                            </w:p>
                          </w:txbxContent>
                        </wps:txbx>
                        <wps:bodyPr wrap="square" lIns="0" tIns="0" rIns="0" bIns="0" rtlCol="0">
                          <a:noAutofit/>
                        </wps:bodyPr>
                      </wps:wsp>
                      <wps:wsp>
                        <wps:cNvPr id="141" name="Textbox 141"/>
                        <wps:cNvSpPr txBox="1"/>
                        <wps:spPr>
                          <a:xfrm>
                            <a:off x="3846836" y="1179830"/>
                            <a:ext cx="2108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12%</w:t>
                              </w:r>
                            </w:p>
                          </w:txbxContent>
                        </wps:txbx>
                        <wps:bodyPr wrap="square" lIns="0" tIns="0" rIns="0" bIns="0" rtlCol="0">
                          <a:noAutofit/>
                        </wps:bodyPr>
                      </wps:wsp>
                      <wps:wsp>
                        <wps:cNvPr id="142" name="Textbox 142"/>
                        <wps:cNvSpPr txBox="1"/>
                        <wps:spPr>
                          <a:xfrm>
                            <a:off x="4063244" y="1293875"/>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4%</w:t>
                              </w:r>
                            </w:p>
                          </w:txbxContent>
                        </wps:txbx>
                        <wps:bodyPr wrap="square" lIns="0" tIns="0" rIns="0" bIns="0" rtlCol="0">
                          <a:noAutofit/>
                        </wps:bodyPr>
                      </wps:wsp>
                      <wps:wsp>
                        <wps:cNvPr id="143" name="Textbox 143"/>
                        <wps:cNvSpPr txBox="1"/>
                        <wps:spPr>
                          <a:xfrm>
                            <a:off x="4542161" y="1266697"/>
                            <a:ext cx="15240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7%</w:t>
                              </w:r>
                            </w:p>
                          </w:txbxContent>
                        </wps:txbx>
                        <wps:bodyPr wrap="square" lIns="0" tIns="0" rIns="0" bIns="0" rtlCol="0">
                          <a:noAutofit/>
                        </wps:bodyPr>
                      </wps:wsp>
                    </wpg:wgp>
                  </a:graphicData>
                </a:graphic>
              </wp:anchor>
            </w:drawing>
          </mc:Choice>
          <mc:Fallback>
            <w:pict>
              <v:group style="position:absolute;margin-left:133.199493pt;margin-top:-3.213359pt;width:375.7pt;height:122.25pt;mso-position-horizontal-relative:page;mso-position-vertical-relative:paragraph;z-index:15745536" id="docshapegroup97" coordorigin="2664,-64" coordsize="7514,2445">
                <v:shape style="position:absolute;left:2663;top:-13;width:7514;height:2392" type="#_x0000_t75" id="docshape98" stroked="false">
                  <v:imagedata r:id="rId61" o:title=""/>
                </v:shape>
                <v:shape style="position:absolute;left:2848;top:201;width:332;height:180" type="#_x0000_t202" id="docshape9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82%</w:t>
                        </w:r>
                      </w:p>
                    </w:txbxContent>
                  </v:textbox>
                  <w10:wrap type="none"/>
                </v:shape>
                <v:shape style="position:absolute;left:3582;top:68;width:332;height:180" type="#_x0000_t202" id="docshape10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88%</w:t>
                        </w:r>
                      </w:p>
                    </w:txbxContent>
                  </v:textbox>
                  <w10:wrap type="none"/>
                </v:shape>
                <v:shape style="position:absolute;left:5051;top:-65;width:332;height:180" type="#_x0000_t202" id="docshape10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94%</w:t>
                        </w:r>
                      </w:p>
                    </w:txbxContent>
                  </v:textbox>
                  <w10:wrap type="none"/>
                </v:shape>
                <v:shape style="position:absolute;left:6020;top:190;width:332;height:180" type="#_x0000_t202" id="docshape102"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85%</w:t>
                        </w:r>
                      </w:p>
                    </w:txbxContent>
                  </v:textbox>
                  <w10:wrap type="none"/>
                </v:shape>
                <v:shape style="position:absolute;left:4316;top:333;width:332;height:180" type="#_x0000_t202" id="docshape10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76%</w:t>
                        </w:r>
                      </w:p>
                    </w:txbxContent>
                  </v:textbox>
                  <w10:wrap type="none"/>
                </v:shape>
                <v:shape style="position:absolute;left:7253;top:201;width:332;height:180" type="#_x0000_t202" id="docshape10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82%</w:t>
                        </w:r>
                      </w:p>
                    </w:txbxContent>
                  </v:textbox>
                  <w10:wrap type="none"/>
                </v:shape>
                <v:shape style="position:absolute;left:7987;top:201;width:332;height:180" type="#_x0000_t202" id="docshape10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82%</w:t>
                        </w:r>
                      </w:p>
                    </w:txbxContent>
                  </v:textbox>
                  <w10:wrap type="none"/>
                </v:shape>
                <v:shape style="position:absolute;left:3891;top:727;width:332;height:180" type="#_x0000_t202" id="docshape10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60%</w:t>
                        </w:r>
                      </w:p>
                    </w:txbxContent>
                  </v:textbox>
                  <w10:wrap type="none"/>
                </v:shape>
                <v:shape style="position:absolute;left:5785;top:731;width:332;height:180" type="#_x0000_t202" id="docshape10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59%</w:t>
                        </w:r>
                      </w:p>
                    </w:txbxContent>
                  </v:textbox>
                  <w10:wrap type="none"/>
                </v:shape>
                <v:shape style="position:absolute;left:6519;top:731;width:332;height:180" type="#_x0000_t202" id="docshape10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59%</w:t>
                        </w:r>
                      </w:p>
                    </w:txbxContent>
                  </v:textbox>
                  <w10:wrap type="none"/>
                </v:shape>
                <v:shape style="position:absolute;left:5406;top:984;width:332;height:180" type="#_x0000_t202" id="docshape109"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49%</w:t>
                        </w:r>
                      </w:p>
                    </w:txbxContent>
                  </v:textbox>
                  <w10:wrap type="none"/>
                </v:shape>
                <v:shape style="position:absolute;left:3203;top:1199;width:332;height:180" type="#_x0000_t202" id="docshape11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38%</w:t>
                        </w:r>
                      </w:p>
                    </w:txbxContent>
                  </v:textbox>
                  <w10:wrap type="none"/>
                </v:shape>
                <v:shape style="position:absolute;left:9456;top:1130;width:332;height:180" type="#_x0000_t202" id="docshape111"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41%</w:t>
                        </w:r>
                      </w:p>
                    </w:txbxContent>
                  </v:textbox>
                  <w10:wrap type="none"/>
                </v:shape>
                <v:shape style="position:absolute;left:4611;top:1414;width:3329;height:181" type="#_x0000_t202" id="docshape112" filled="false" stroked="false">
                  <v:textbox inset="0,0,0,0">
                    <w:txbxContent>
                      <w:p>
                        <w:pPr>
                          <w:tabs>
                            <w:tab w:pos="2997" w:val="left" w:leader="none"/>
                          </w:tabs>
                          <w:spacing w:line="181" w:lineRule="exact" w:before="0"/>
                          <w:ind w:left="0" w:right="0" w:firstLine="0"/>
                          <w:jc w:val="left"/>
                          <w:rPr>
                            <w:rFonts w:ascii="Calibri"/>
                            <w:sz w:val="18"/>
                          </w:rPr>
                        </w:pPr>
                        <w:r>
                          <w:rPr>
                            <w:rFonts w:ascii="Calibri"/>
                            <w:color w:val="404040"/>
                            <w:spacing w:val="-5"/>
                            <w:sz w:val="18"/>
                          </w:rPr>
                          <w:t>30%</w:t>
                        </w:r>
                        <w:r>
                          <w:rPr>
                            <w:rFonts w:ascii="Calibri"/>
                            <w:color w:val="404040"/>
                            <w:sz w:val="18"/>
                          </w:rPr>
                          <w:tab/>
                        </w:r>
                        <w:r>
                          <w:rPr>
                            <w:rFonts w:ascii="Calibri"/>
                            <w:color w:val="404040"/>
                            <w:spacing w:val="-5"/>
                            <w:sz w:val="18"/>
                          </w:rPr>
                          <w:t>30%</w:t>
                        </w:r>
                      </w:p>
                    </w:txbxContent>
                  </v:textbox>
                  <w10:wrap type="none"/>
                </v:shape>
                <v:shape style="position:absolute;left:8342;top:1479;width:332;height:180" type="#_x0000_t202" id="docshape113"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27%</w:t>
                        </w:r>
                      </w:p>
                    </w:txbxContent>
                  </v:textbox>
                  <w10:wrap type="none"/>
                </v:shape>
                <v:shape style="position:absolute;left:6814;top:1629;width:332;height:180" type="#_x0000_t202" id="docshape114"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18%</w:t>
                        </w:r>
                      </w:p>
                    </w:txbxContent>
                  </v:textbox>
                  <w10:wrap type="none"/>
                </v:shape>
                <v:shape style="position:absolute;left:8722;top:1793;width:332;height:180" type="#_x0000_t202" id="docshape115"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12%</w:t>
                        </w:r>
                      </w:p>
                    </w:txbxContent>
                  </v:textbox>
                  <w10:wrap type="none"/>
                </v:shape>
                <v:shape style="position:absolute;left:9062;top:1973;width:240;height:180" type="#_x0000_t202" id="docshape116"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4%</w:t>
                        </w:r>
                      </w:p>
                    </w:txbxContent>
                  </v:textbox>
                  <w10:wrap type="none"/>
                </v:shape>
                <v:shape style="position:absolute;left:9817;top:1930;width:240;height:180" type="#_x0000_t202" id="docshape117"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7%</w:t>
                        </w:r>
                      </w:p>
                    </w:txbxContent>
                  </v:textbox>
                  <w10:wrap type="none"/>
                </v:shape>
                <w10:wrap type="none"/>
              </v:group>
            </w:pict>
          </mc:Fallback>
        </mc:AlternateContent>
      </w:r>
      <w:r>
        <w:rPr>
          <w:rFonts w:ascii="Calibri"/>
          <w:color w:val="585858"/>
          <w:spacing w:val="-4"/>
          <w:sz w:val="18"/>
        </w:rPr>
        <w:t>100%</w:t>
      </w:r>
    </w:p>
    <w:p>
      <w:pPr>
        <w:pStyle w:val="BodyText"/>
        <w:spacing w:before="12"/>
        <w:rPr>
          <w:rFonts w:ascii="Calibri"/>
          <w:sz w:val="18"/>
        </w:rPr>
      </w:pPr>
    </w:p>
    <w:p>
      <w:pPr>
        <w:spacing w:before="0"/>
        <w:ind w:left="1481" w:right="0" w:firstLine="0"/>
        <w:jc w:val="left"/>
        <w:rPr>
          <w:rFonts w:ascii="Calibri"/>
          <w:sz w:val="18"/>
        </w:rPr>
      </w:pPr>
      <w:r>
        <w:rPr>
          <w:rFonts w:ascii="Calibri"/>
          <w:color w:val="585858"/>
          <w:spacing w:val="-5"/>
          <w:sz w:val="18"/>
        </w:rPr>
        <w:t>80%</w:t>
      </w:r>
    </w:p>
    <w:p>
      <w:pPr>
        <w:pStyle w:val="BodyText"/>
        <w:spacing w:before="12"/>
        <w:rPr>
          <w:rFonts w:ascii="Calibri"/>
          <w:sz w:val="18"/>
        </w:rPr>
      </w:pPr>
    </w:p>
    <w:p>
      <w:pPr>
        <w:spacing w:before="0"/>
        <w:ind w:left="1481" w:right="0" w:firstLine="0"/>
        <w:jc w:val="left"/>
        <w:rPr>
          <w:rFonts w:ascii="Calibri"/>
          <w:sz w:val="18"/>
        </w:rPr>
      </w:pPr>
      <w:r>
        <w:rPr>
          <w:rFonts w:ascii="Calibri"/>
          <w:color w:val="585858"/>
          <w:spacing w:val="-5"/>
          <w:sz w:val="18"/>
        </w:rPr>
        <w:t>60%</w:t>
      </w:r>
    </w:p>
    <w:p>
      <w:pPr>
        <w:pStyle w:val="BodyText"/>
        <w:spacing w:before="11"/>
        <w:rPr>
          <w:rFonts w:ascii="Calibri"/>
          <w:sz w:val="18"/>
        </w:rPr>
      </w:pPr>
    </w:p>
    <w:p>
      <w:pPr>
        <w:spacing w:before="0"/>
        <w:ind w:left="1481" w:right="0" w:firstLine="0"/>
        <w:jc w:val="left"/>
        <w:rPr>
          <w:rFonts w:ascii="Calibri"/>
          <w:sz w:val="18"/>
        </w:rPr>
      </w:pPr>
      <w:r>
        <w:rPr>
          <w:rFonts w:ascii="Calibri"/>
          <w:color w:val="585858"/>
          <w:spacing w:val="-5"/>
          <w:sz w:val="18"/>
        </w:rPr>
        <w:t>40%</w:t>
      </w:r>
    </w:p>
    <w:p>
      <w:pPr>
        <w:pStyle w:val="BodyText"/>
        <w:spacing w:before="12"/>
        <w:rPr>
          <w:rFonts w:ascii="Calibri"/>
          <w:sz w:val="18"/>
        </w:rPr>
      </w:pPr>
    </w:p>
    <w:p>
      <w:pPr>
        <w:spacing w:before="0"/>
        <w:ind w:left="1481" w:right="0" w:firstLine="0"/>
        <w:jc w:val="left"/>
        <w:rPr>
          <w:rFonts w:ascii="Calibri"/>
          <w:sz w:val="18"/>
        </w:rPr>
      </w:pPr>
      <w:r>
        <w:rPr>
          <w:rFonts w:ascii="Calibri"/>
          <w:color w:val="585858"/>
          <w:spacing w:val="-5"/>
          <w:sz w:val="18"/>
        </w:rPr>
        <w:t>20%</w:t>
      </w:r>
    </w:p>
    <w:p>
      <w:pPr>
        <w:pStyle w:val="BodyText"/>
        <w:spacing w:before="12"/>
        <w:rPr>
          <w:rFonts w:ascii="Calibri"/>
          <w:sz w:val="18"/>
        </w:rPr>
      </w:pPr>
    </w:p>
    <w:p>
      <w:pPr>
        <w:spacing w:before="1"/>
        <w:ind w:left="1573" w:right="0" w:firstLine="0"/>
        <w:jc w:val="left"/>
        <w:rPr>
          <w:rFonts w:ascii="Calibri"/>
          <w:sz w:val="18"/>
        </w:rPr>
      </w:pPr>
      <w:r>
        <w:rPr>
          <w:rFonts w:ascii="Calibri"/>
          <w:color w:val="585858"/>
          <w:spacing w:val="-5"/>
          <w:sz w:val="18"/>
        </w:rPr>
        <w:t>0%</w:t>
      </w:r>
    </w:p>
    <w:p>
      <w:pPr>
        <w:pStyle w:val="BodyText"/>
        <w:spacing w:before="9"/>
        <w:rPr>
          <w:rFonts w:ascii="Calibri"/>
          <w:sz w:val="3"/>
        </w:rPr>
      </w:pPr>
      <w:r>
        <w:rPr>
          <w:rFonts w:ascii="Calibri"/>
          <w:sz w:val="3"/>
        </w:rPr>
        <w:drawing>
          <wp:anchor distT="0" distB="0" distL="0" distR="0" allowOverlap="1" layoutInCell="1" locked="0" behindDoc="1" simplePos="0" relativeHeight="487603200">
            <wp:simplePos x="0" y="0"/>
            <wp:positionH relativeFrom="page">
              <wp:posOffset>1543158</wp:posOffset>
            </wp:positionH>
            <wp:positionV relativeFrom="paragraph">
              <wp:posOffset>54191</wp:posOffset>
            </wp:positionV>
            <wp:extent cx="871825" cy="457200"/>
            <wp:effectExtent l="0" t="0" r="0" b="0"/>
            <wp:wrapTopAndBottom/>
            <wp:docPr id="144" name="Image 144"/>
            <wp:cNvGraphicFramePr>
              <a:graphicFrameLocks/>
            </wp:cNvGraphicFramePr>
            <a:graphic>
              <a:graphicData uri="http://schemas.openxmlformats.org/drawingml/2006/picture">
                <pic:pic>
                  <pic:nvPicPr>
                    <pic:cNvPr id="144" name="Image 144"/>
                    <pic:cNvPicPr/>
                  </pic:nvPicPr>
                  <pic:blipFill>
                    <a:blip r:embed="rId62" cstate="print"/>
                    <a:stretch>
                      <a:fillRect/>
                    </a:stretch>
                  </pic:blipFill>
                  <pic:spPr>
                    <a:xfrm>
                      <a:off x="0" y="0"/>
                      <a:ext cx="871825" cy="457200"/>
                    </a:xfrm>
                    <a:prstGeom prst="rect">
                      <a:avLst/>
                    </a:prstGeom>
                  </pic:spPr>
                </pic:pic>
              </a:graphicData>
            </a:graphic>
          </wp:anchor>
        </w:drawing>
      </w:r>
      <w:r>
        <w:rPr>
          <w:rFonts w:ascii="Calibri"/>
          <w:sz w:val="3"/>
        </w:rPr>
        <w:drawing>
          <wp:anchor distT="0" distB="0" distL="0" distR="0" allowOverlap="1" layoutInCell="1" locked="0" behindDoc="1" simplePos="0" relativeHeight="487603712">
            <wp:simplePos x="0" y="0"/>
            <wp:positionH relativeFrom="page">
              <wp:posOffset>2487422</wp:posOffset>
            </wp:positionH>
            <wp:positionV relativeFrom="paragraph">
              <wp:posOffset>44793</wp:posOffset>
            </wp:positionV>
            <wp:extent cx="3198404" cy="819150"/>
            <wp:effectExtent l="0" t="0" r="0" b="0"/>
            <wp:wrapTopAndBottom/>
            <wp:docPr id="145" name="Image 145"/>
            <wp:cNvGraphicFramePr>
              <a:graphicFrameLocks/>
            </wp:cNvGraphicFramePr>
            <a:graphic>
              <a:graphicData uri="http://schemas.openxmlformats.org/drawingml/2006/picture">
                <pic:pic>
                  <pic:nvPicPr>
                    <pic:cNvPr id="145" name="Image 145"/>
                    <pic:cNvPicPr/>
                  </pic:nvPicPr>
                  <pic:blipFill>
                    <a:blip r:embed="rId63" cstate="print"/>
                    <a:stretch>
                      <a:fillRect/>
                    </a:stretch>
                  </pic:blipFill>
                  <pic:spPr>
                    <a:xfrm>
                      <a:off x="0" y="0"/>
                      <a:ext cx="3198404" cy="819150"/>
                    </a:xfrm>
                    <a:prstGeom prst="rect">
                      <a:avLst/>
                    </a:prstGeom>
                  </pic:spPr>
                </pic:pic>
              </a:graphicData>
            </a:graphic>
          </wp:anchor>
        </w:drawing>
      </w:r>
      <w:r>
        <w:rPr>
          <w:rFonts w:ascii="Calibri"/>
          <w:sz w:val="3"/>
        </w:rPr>
        <w:drawing>
          <wp:anchor distT="0" distB="0" distL="0" distR="0" allowOverlap="1" layoutInCell="1" locked="0" behindDoc="1" simplePos="0" relativeHeight="487604224">
            <wp:simplePos x="0" y="0"/>
            <wp:positionH relativeFrom="page">
              <wp:posOffset>5930755</wp:posOffset>
            </wp:positionH>
            <wp:positionV relativeFrom="paragraph">
              <wp:posOffset>44412</wp:posOffset>
            </wp:positionV>
            <wp:extent cx="208901" cy="210026"/>
            <wp:effectExtent l="0" t="0" r="0" b="0"/>
            <wp:wrapTopAndBottom/>
            <wp:docPr id="146" name="Image 146"/>
            <wp:cNvGraphicFramePr>
              <a:graphicFrameLocks/>
            </wp:cNvGraphicFramePr>
            <a:graphic>
              <a:graphicData uri="http://schemas.openxmlformats.org/drawingml/2006/picture">
                <pic:pic>
                  <pic:nvPicPr>
                    <pic:cNvPr id="146" name="Image 146"/>
                    <pic:cNvPicPr/>
                  </pic:nvPicPr>
                  <pic:blipFill>
                    <a:blip r:embed="rId64" cstate="print"/>
                    <a:stretch>
                      <a:fillRect/>
                    </a:stretch>
                  </pic:blipFill>
                  <pic:spPr>
                    <a:xfrm>
                      <a:off x="0" y="0"/>
                      <a:ext cx="208901" cy="210026"/>
                    </a:xfrm>
                    <a:prstGeom prst="rect">
                      <a:avLst/>
                    </a:prstGeom>
                  </pic:spPr>
                </pic:pic>
              </a:graphicData>
            </a:graphic>
          </wp:anchor>
        </w:drawing>
      </w:r>
    </w:p>
    <w:p>
      <w:pPr>
        <w:pStyle w:val="BodyText"/>
        <w:spacing w:before="127"/>
        <w:rPr>
          <w:rFonts w:ascii="Calibri"/>
          <w:sz w:val="18"/>
        </w:rPr>
      </w:pPr>
    </w:p>
    <w:p>
      <w:pPr>
        <w:spacing w:before="0"/>
        <w:ind w:left="1930" w:right="1748" w:firstLine="0"/>
        <w:jc w:val="center"/>
        <w:rPr>
          <w:rFonts w:ascii="Calibri"/>
          <w:sz w:val="18"/>
        </w:rPr>
      </w:pPr>
      <w:r>
        <w:rPr/>
        <w:drawing>
          <wp:inline distT="0" distB="0" distL="0" distR="0">
            <wp:extent cx="62779" cy="62779"/>
            <wp:effectExtent l="0" t="0" r="0" b="0"/>
            <wp:docPr id="147" name="Image 147"/>
            <wp:cNvGraphicFramePr>
              <a:graphicFrameLocks/>
            </wp:cNvGraphicFramePr>
            <a:graphic>
              <a:graphicData uri="http://schemas.openxmlformats.org/drawingml/2006/picture">
                <pic:pic>
                  <pic:nvPicPr>
                    <pic:cNvPr id="147" name="Image 147"/>
                    <pic:cNvPicPr/>
                  </pic:nvPicPr>
                  <pic:blipFill>
                    <a:blip r:embed="rId65" cstate="print"/>
                    <a:stretch>
                      <a:fillRect/>
                    </a:stretch>
                  </pic:blipFill>
                  <pic:spPr>
                    <a:xfrm>
                      <a:off x="0" y="0"/>
                      <a:ext cx="62779" cy="62779"/>
                    </a:xfrm>
                    <a:prstGeom prst="rect">
                      <a:avLst/>
                    </a:prstGeom>
                  </pic:spPr>
                </pic:pic>
              </a:graphicData>
            </a:graphic>
          </wp:inline>
        </w:drawing>
      </w:r>
      <w:r>
        <w:rPr/>
      </w:r>
      <w:r>
        <w:rPr>
          <w:rFonts w:ascii="Times New Roman"/>
          <w:spacing w:val="-8"/>
          <w:sz w:val="20"/>
        </w:rPr>
        <w:t> </w:t>
      </w:r>
      <w:r>
        <w:rPr>
          <w:rFonts w:ascii="Calibri"/>
          <w:color w:val="585858"/>
          <w:sz w:val="18"/>
        </w:rPr>
        <w:t>Bed</w:t>
      </w:r>
      <w:r>
        <w:rPr>
          <w:rFonts w:ascii="Calibri"/>
          <w:color w:val="585858"/>
          <w:spacing w:val="-1"/>
          <w:sz w:val="18"/>
        </w:rPr>
        <w:t> </w:t>
      </w:r>
      <w:r>
        <w:rPr>
          <w:rFonts w:ascii="Calibri"/>
          <w:color w:val="585858"/>
          <w:sz w:val="18"/>
        </w:rPr>
        <w:t>Leases</w:t>
      </w:r>
      <w:r>
        <w:rPr>
          <w:rFonts w:ascii="Calibri"/>
          <w:color w:val="585858"/>
          <w:spacing w:val="53"/>
          <w:sz w:val="18"/>
        </w:rPr>
        <w:t>  </w:t>
      </w:r>
      <w:r>
        <w:rPr>
          <w:rFonts w:ascii="Calibri"/>
          <w:color w:val="585858"/>
          <w:spacing w:val="-12"/>
          <w:sz w:val="18"/>
        </w:rPr>
        <w:drawing>
          <wp:inline distT="0" distB="0" distL="0" distR="0">
            <wp:extent cx="62779" cy="62779"/>
            <wp:effectExtent l="0" t="0" r="0" b="0"/>
            <wp:docPr id="148" name="Image 148"/>
            <wp:cNvGraphicFramePr>
              <a:graphicFrameLocks/>
            </wp:cNvGraphicFramePr>
            <a:graphic>
              <a:graphicData uri="http://schemas.openxmlformats.org/drawingml/2006/picture">
                <pic:pic>
                  <pic:nvPicPr>
                    <pic:cNvPr id="148" name="Image 148"/>
                    <pic:cNvPicPr/>
                  </pic:nvPicPr>
                  <pic:blipFill>
                    <a:blip r:embed="rId66" cstate="print"/>
                    <a:stretch>
                      <a:fillRect/>
                    </a:stretch>
                  </pic:blipFill>
                  <pic:spPr>
                    <a:xfrm>
                      <a:off x="0" y="0"/>
                      <a:ext cx="62779" cy="62779"/>
                    </a:xfrm>
                    <a:prstGeom prst="rect">
                      <a:avLst/>
                    </a:prstGeom>
                  </pic:spPr>
                </pic:pic>
              </a:graphicData>
            </a:graphic>
          </wp:inline>
        </w:drawing>
      </w:r>
      <w:r>
        <w:rPr>
          <w:rFonts w:ascii="Calibri"/>
          <w:color w:val="585858"/>
          <w:spacing w:val="-12"/>
          <w:sz w:val="18"/>
        </w:rPr>
      </w:r>
      <w:r>
        <w:rPr>
          <w:rFonts w:ascii="Times New Roman"/>
          <w:color w:val="585858"/>
          <w:spacing w:val="8"/>
          <w:sz w:val="18"/>
        </w:rPr>
        <w:t> </w:t>
      </w:r>
      <w:r>
        <w:rPr>
          <w:rFonts w:ascii="Calibri"/>
          <w:color w:val="585858"/>
          <w:sz w:val="18"/>
        </w:rPr>
        <w:t>Unit</w:t>
      </w:r>
      <w:r>
        <w:rPr>
          <w:rFonts w:ascii="Calibri"/>
          <w:color w:val="585858"/>
          <w:spacing w:val="-1"/>
          <w:sz w:val="18"/>
        </w:rPr>
        <w:t> </w:t>
      </w:r>
      <w:r>
        <w:rPr>
          <w:rFonts w:ascii="Calibri"/>
          <w:color w:val="585858"/>
          <w:sz w:val="18"/>
        </w:rPr>
        <w:t>Leases</w:t>
      </w:r>
    </w:p>
    <w:p>
      <w:pPr>
        <w:spacing w:before="103"/>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3"/>
          <w:sz w:val="16"/>
        </w:rPr>
        <w:t> </w:t>
      </w:r>
      <w:r>
        <w:rPr>
          <w:rFonts w:ascii="Arial MT"/>
          <w:spacing w:val="-2"/>
          <w:sz w:val="16"/>
        </w:rPr>
        <w:t>2021.</w:t>
      </w:r>
    </w:p>
    <w:p>
      <w:pPr>
        <w:pStyle w:val="BodyText"/>
        <w:spacing w:before="97"/>
        <w:rPr>
          <w:rFonts w:ascii="Arial MT"/>
        </w:rPr>
      </w:pPr>
    </w:p>
    <w:p>
      <w:pPr>
        <w:spacing w:before="0"/>
        <w:ind w:left="1008" w:right="0" w:firstLine="0"/>
        <w:jc w:val="left"/>
        <w:rPr>
          <w:i/>
          <w:sz w:val="22"/>
        </w:rPr>
      </w:pPr>
      <w:r>
        <w:rPr>
          <w:i/>
          <w:sz w:val="22"/>
        </w:rPr>
        <w:t>Furnished</w:t>
      </w:r>
      <w:r>
        <w:rPr>
          <w:i/>
          <w:spacing w:val="53"/>
          <w:w w:val="150"/>
          <w:sz w:val="22"/>
        </w:rPr>
        <w:t> </w:t>
      </w:r>
      <w:r>
        <w:rPr>
          <w:i/>
          <w:sz w:val="22"/>
        </w:rPr>
        <w:t>and</w:t>
      </w:r>
      <w:r>
        <w:rPr>
          <w:i/>
          <w:spacing w:val="53"/>
          <w:w w:val="150"/>
          <w:sz w:val="22"/>
        </w:rPr>
        <w:t> </w:t>
      </w:r>
      <w:r>
        <w:rPr>
          <w:i/>
          <w:sz w:val="22"/>
        </w:rPr>
        <w:t>Unfurnished</w:t>
      </w:r>
      <w:r>
        <w:rPr>
          <w:i/>
          <w:spacing w:val="53"/>
          <w:w w:val="150"/>
          <w:sz w:val="22"/>
        </w:rPr>
        <w:t> </w:t>
      </w:r>
      <w:r>
        <w:rPr>
          <w:i/>
          <w:spacing w:val="-4"/>
          <w:sz w:val="22"/>
        </w:rPr>
        <w:t>Units</w:t>
      </w:r>
    </w:p>
    <w:p>
      <w:pPr>
        <w:pStyle w:val="BodyText"/>
        <w:spacing w:line="288" w:lineRule="auto" w:before="50"/>
        <w:ind w:left="1008" w:right="1001"/>
      </w:pPr>
      <w:r>
        <w:rPr/>
        <w:t>Most of the surveyed properties indicated that they</w:t>
      </w:r>
      <w:r>
        <w:rPr>
          <w:spacing w:val="-1"/>
        </w:rPr>
        <w:t> </w:t>
      </w:r>
      <w:r>
        <w:rPr/>
        <w:t>did not offer furnished units in the 2021 leasing</w:t>
      </w:r>
      <w:r>
        <w:rPr>
          <w:spacing w:val="-12"/>
        </w:rPr>
        <w:t> </w:t>
      </w:r>
      <w:r>
        <w:rPr/>
        <w:t>season.</w:t>
      </w:r>
      <w:r>
        <w:rPr>
          <w:spacing w:val="34"/>
        </w:rPr>
        <w:t> </w:t>
      </w:r>
      <w:r>
        <w:rPr/>
        <w:t>Figures</w:t>
      </w:r>
      <w:r>
        <w:rPr>
          <w:spacing w:val="-10"/>
        </w:rPr>
        <w:t> </w:t>
      </w:r>
      <w:r>
        <w:rPr/>
        <w:t>8</w:t>
      </w:r>
      <w:r>
        <w:rPr>
          <w:spacing w:val="-12"/>
        </w:rPr>
        <w:t> </w:t>
      </w:r>
      <w:r>
        <w:rPr/>
        <w:t>and</w:t>
      </w:r>
      <w:r>
        <w:rPr>
          <w:spacing w:val="-8"/>
        </w:rPr>
        <w:t> </w:t>
      </w:r>
      <w:r>
        <w:rPr/>
        <w:t>9</w:t>
      </w:r>
      <w:r>
        <w:rPr>
          <w:spacing w:val="-9"/>
        </w:rPr>
        <w:t> </w:t>
      </w:r>
      <w:r>
        <w:rPr/>
        <w:t>illustrate</w:t>
      </w:r>
      <w:r>
        <w:rPr>
          <w:spacing w:val="-9"/>
        </w:rPr>
        <w:t> </w:t>
      </w:r>
      <w:r>
        <w:rPr/>
        <w:t>the</w:t>
      </w:r>
      <w:r>
        <w:rPr>
          <w:spacing w:val="-11"/>
        </w:rPr>
        <w:t> </w:t>
      </w:r>
      <w:r>
        <w:rPr/>
        <w:t>number</w:t>
      </w:r>
      <w:r>
        <w:rPr>
          <w:spacing w:val="-10"/>
        </w:rPr>
        <w:t> </w:t>
      </w:r>
      <w:r>
        <w:rPr/>
        <w:t>of</w:t>
      </w:r>
      <w:r>
        <w:rPr>
          <w:spacing w:val="-8"/>
        </w:rPr>
        <w:t> </w:t>
      </w:r>
      <w:r>
        <w:rPr/>
        <w:t>respondents</w:t>
      </w:r>
      <w:r>
        <w:rPr>
          <w:spacing w:val="-9"/>
        </w:rPr>
        <w:t> </w:t>
      </w:r>
      <w:r>
        <w:rPr/>
        <w:t>that</w:t>
      </w:r>
      <w:r>
        <w:rPr>
          <w:spacing w:val="-10"/>
        </w:rPr>
        <w:t> </w:t>
      </w:r>
      <w:r>
        <w:rPr/>
        <w:t>offered</w:t>
      </w:r>
      <w:r>
        <w:rPr>
          <w:spacing w:val="-11"/>
        </w:rPr>
        <w:t> </w:t>
      </w:r>
      <w:r>
        <w:rPr/>
        <w:t>furnishings, by unit</w:t>
      </w:r>
      <w:r>
        <w:rPr>
          <w:spacing w:val="-1"/>
        </w:rPr>
        <w:t> </w:t>
      </w:r>
      <w:r>
        <w:rPr/>
        <w:t>size.</w:t>
      </w:r>
      <w:r>
        <w:rPr>
          <w:spacing w:val="40"/>
        </w:rPr>
        <w:t> </w:t>
      </w:r>
      <w:r>
        <w:rPr/>
        <w:t>A total of ten</w:t>
      </w:r>
      <w:r>
        <w:rPr>
          <w:spacing w:val="-1"/>
        </w:rPr>
        <w:t> </w:t>
      </w:r>
      <w:r>
        <w:rPr/>
        <w:t>properties indicated that</w:t>
      </w:r>
      <w:r>
        <w:rPr>
          <w:spacing w:val="-1"/>
        </w:rPr>
        <w:t> </w:t>
      </w:r>
      <w:r>
        <w:rPr/>
        <w:t>they offered</w:t>
      </w:r>
      <w:r>
        <w:rPr>
          <w:spacing w:val="-3"/>
        </w:rPr>
        <w:t> </w:t>
      </w:r>
      <w:r>
        <w:rPr/>
        <w:t>furnished</w:t>
      </w:r>
      <w:r>
        <w:rPr>
          <w:spacing w:val="-2"/>
        </w:rPr>
        <w:t> </w:t>
      </w:r>
      <w:r>
        <w:rPr/>
        <w:t>apartments under unit lease</w:t>
      </w:r>
      <w:r>
        <w:rPr>
          <w:spacing w:val="-1"/>
        </w:rPr>
        <w:t> </w:t>
      </w:r>
      <w:r>
        <w:rPr/>
        <w:t>arrangements in the 2021 leasing season.</w:t>
      </w:r>
      <w:r>
        <w:rPr>
          <w:spacing w:val="40"/>
        </w:rPr>
        <w:t> </w:t>
      </w:r>
      <w:r>
        <w:rPr/>
        <w:t>Two-bedroom</w:t>
      </w:r>
      <w:r>
        <w:rPr>
          <w:spacing w:val="-1"/>
        </w:rPr>
        <w:t> </w:t>
      </w:r>
      <w:r>
        <w:rPr/>
        <w:t>units were the most common</w:t>
      </w:r>
      <w:r>
        <w:rPr>
          <w:spacing w:val="-3"/>
        </w:rPr>
        <w:t> </w:t>
      </w:r>
      <w:r>
        <w:rPr/>
        <w:t>unit</w:t>
      </w:r>
      <w:r>
        <w:rPr>
          <w:spacing w:val="-1"/>
        </w:rPr>
        <w:t> </w:t>
      </w:r>
      <w:r>
        <w:rPr/>
        <w:t>type</w:t>
      </w:r>
      <w:r>
        <w:rPr>
          <w:spacing w:val="-1"/>
        </w:rPr>
        <w:t> </w:t>
      </w:r>
      <w:r>
        <w:rPr/>
        <w:t>offered</w:t>
      </w:r>
      <w:r>
        <w:rPr>
          <w:spacing w:val="-3"/>
        </w:rPr>
        <w:t> </w:t>
      </w:r>
      <w:r>
        <w:rPr/>
        <w:t>with</w:t>
      </w:r>
      <w:r>
        <w:rPr>
          <w:spacing w:val="-1"/>
        </w:rPr>
        <w:t> </w:t>
      </w:r>
      <w:r>
        <w:rPr/>
        <w:t>furnishings</w:t>
      </w:r>
      <w:r>
        <w:rPr>
          <w:spacing w:val="-3"/>
        </w:rPr>
        <w:t> </w:t>
      </w:r>
      <w:r>
        <w:rPr/>
        <w:t>under</w:t>
      </w:r>
      <w:r>
        <w:rPr>
          <w:spacing w:val="-2"/>
        </w:rPr>
        <w:t> </w:t>
      </w:r>
      <w:r>
        <w:rPr/>
        <w:t>a</w:t>
      </w:r>
      <w:r>
        <w:rPr>
          <w:spacing w:val="-3"/>
        </w:rPr>
        <w:t> </w:t>
      </w:r>
      <w:r>
        <w:rPr/>
        <w:t>unit</w:t>
      </w:r>
      <w:r>
        <w:rPr>
          <w:spacing w:val="-1"/>
        </w:rPr>
        <w:t> </w:t>
      </w:r>
      <w:r>
        <w:rPr/>
        <w:t>lease</w:t>
      </w:r>
      <w:r>
        <w:rPr>
          <w:spacing w:val="-1"/>
        </w:rPr>
        <w:t> </w:t>
      </w:r>
      <w:r>
        <w:rPr/>
        <w:t>arrangement</w:t>
      </w:r>
      <w:r>
        <w:rPr>
          <w:spacing w:val="-1"/>
        </w:rPr>
        <w:t> </w:t>
      </w:r>
      <w:r>
        <w:rPr/>
        <w:t>followed</w:t>
      </w:r>
      <w:r>
        <w:rPr>
          <w:spacing w:val="-1"/>
        </w:rPr>
        <w:t> </w:t>
      </w:r>
      <w:r>
        <w:rPr/>
        <w:t>by</w:t>
      </w:r>
      <w:r>
        <w:rPr>
          <w:spacing w:val="-4"/>
        </w:rPr>
        <w:t> </w:t>
      </w:r>
      <w:r>
        <w:rPr/>
        <w:t>one- and</w:t>
      </w:r>
      <w:r>
        <w:rPr>
          <w:spacing w:val="-9"/>
        </w:rPr>
        <w:t> </w:t>
      </w:r>
      <w:r>
        <w:rPr/>
        <w:t>three-bedroom</w:t>
      </w:r>
      <w:r>
        <w:rPr>
          <w:spacing w:val="-8"/>
        </w:rPr>
        <w:t> </w:t>
      </w:r>
      <w:r>
        <w:rPr/>
        <w:t>units.</w:t>
      </w:r>
      <w:r>
        <w:rPr>
          <w:spacing w:val="37"/>
        </w:rPr>
        <w:t> </w:t>
      </w:r>
      <w:r>
        <w:rPr/>
        <w:t>Ten</w:t>
      </w:r>
      <w:r>
        <w:rPr>
          <w:spacing w:val="-10"/>
        </w:rPr>
        <w:t> </w:t>
      </w:r>
      <w:r>
        <w:rPr/>
        <w:t>of</w:t>
      </w:r>
      <w:r>
        <w:rPr>
          <w:spacing w:val="-8"/>
        </w:rPr>
        <w:t> </w:t>
      </w:r>
      <w:r>
        <w:rPr/>
        <w:t>the</w:t>
      </w:r>
      <w:r>
        <w:rPr>
          <w:spacing w:val="-8"/>
        </w:rPr>
        <w:t> </w:t>
      </w:r>
      <w:r>
        <w:rPr/>
        <w:t>17</w:t>
      </w:r>
      <w:r>
        <w:rPr>
          <w:spacing w:val="-8"/>
        </w:rPr>
        <w:t> </w:t>
      </w:r>
      <w:r>
        <w:rPr/>
        <w:t>bed</w:t>
      </w:r>
      <w:r>
        <w:rPr>
          <w:spacing w:val="-8"/>
        </w:rPr>
        <w:t> </w:t>
      </w:r>
      <w:r>
        <w:rPr/>
        <w:t>lease</w:t>
      </w:r>
      <w:r>
        <w:rPr>
          <w:spacing w:val="-8"/>
        </w:rPr>
        <w:t> </w:t>
      </w:r>
      <w:r>
        <w:rPr/>
        <w:t>complexes</w:t>
      </w:r>
      <w:r>
        <w:rPr>
          <w:spacing w:val="-8"/>
        </w:rPr>
        <w:t> </w:t>
      </w:r>
      <w:r>
        <w:rPr/>
        <w:t>reported</w:t>
      </w:r>
      <w:r>
        <w:rPr>
          <w:spacing w:val="-8"/>
        </w:rPr>
        <w:t> </w:t>
      </w:r>
      <w:r>
        <w:rPr/>
        <w:t>offering</w:t>
      </w:r>
      <w:r>
        <w:rPr>
          <w:spacing w:val="-8"/>
        </w:rPr>
        <w:t> </w:t>
      </w:r>
      <w:r>
        <w:rPr/>
        <w:t>furnished</w:t>
      </w:r>
      <w:r>
        <w:rPr>
          <w:spacing w:val="-8"/>
        </w:rPr>
        <w:t> </w:t>
      </w:r>
      <w:r>
        <w:rPr/>
        <w:t>bed- leased units.</w:t>
      </w:r>
    </w:p>
    <w:p>
      <w:pPr>
        <w:pStyle w:val="BodyText"/>
        <w:spacing w:before="56"/>
      </w:pPr>
    </w:p>
    <w:p>
      <w:pPr>
        <w:spacing w:before="0"/>
        <w:ind w:left="1008" w:right="0" w:firstLine="0"/>
        <w:jc w:val="left"/>
        <w:rPr>
          <w:i/>
          <w:sz w:val="22"/>
        </w:rPr>
      </w:pPr>
      <w:r>
        <w:rPr>
          <w:i/>
          <w:sz w:val="22"/>
        </w:rPr>
        <w:t>Figure</w:t>
      </w:r>
      <w:r>
        <w:rPr>
          <w:i/>
          <w:spacing w:val="-6"/>
          <w:sz w:val="22"/>
        </w:rPr>
        <w:t> </w:t>
      </w:r>
      <w:r>
        <w:rPr>
          <w:i/>
          <w:sz w:val="22"/>
        </w:rPr>
        <w:t>8:</w:t>
      </w:r>
      <w:r>
        <w:rPr>
          <w:i/>
          <w:spacing w:val="43"/>
          <w:sz w:val="22"/>
        </w:rPr>
        <w:t> </w:t>
      </w:r>
      <w:r>
        <w:rPr>
          <w:i/>
          <w:sz w:val="22"/>
        </w:rPr>
        <w:t>Number</w:t>
      </w:r>
      <w:r>
        <w:rPr>
          <w:i/>
          <w:spacing w:val="-6"/>
          <w:sz w:val="22"/>
        </w:rPr>
        <w:t> </w:t>
      </w:r>
      <w:r>
        <w:rPr>
          <w:i/>
          <w:sz w:val="22"/>
        </w:rPr>
        <w:t>of</w:t>
      </w:r>
      <w:r>
        <w:rPr>
          <w:i/>
          <w:spacing w:val="-6"/>
          <w:sz w:val="22"/>
        </w:rPr>
        <w:t> </w:t>
      </w:r>
      <w:r>
        <w:rPr>
          <w:i/>
          <w:sz w:val="22"/>
        </w:rPr>
        <w:t>Respondents</w:t>
      </w:r>
      <w:r>
        <w:rPr>
          <w:i/>
          <w:spacing w:val="-7"/>
          <w:sz w:val="22"/>
        </w:rPr>
        <w:t> </w:t>
      </w:r>
      <w:r>
        <w:rPr>
          <w:i/>
          <w:sz w:val="22"/>
        </w:rPr>
        <w:t>Offering</w:t>
      </w:r>
      <w:r>
        <w:rPr>
          <w:i/>
          <w:spacing w:val="-7"/>
          <w:sz w:val="22"/>
        </w:rPr>
        <w:t> </w:t>
      </w:r>
      <w:r>
        <w:rPr>
          <w:i/>
          <w:sz w:val="22"/>
        </w:rPr>
        <w:t>Furnished</w:t>
      </w:r>
      <w:r>
        <w:rPr>
          <w:i/>
          <w:spacing w:val="-7"/>
          <w:sz w:val="22"/>
        </w:rPr>
        <w:t> </w:t>
      </w:r>
      <w:r>
        <w:rPr>
          <w:i/>
          <w:sz w:val="22"/>
        </w:rPr>
        <w:t>Unit</w:t>
      </w:r>
      <w:r>
        <w:rPr>
          <w:i/>
          <w:spacing w:val="-7"/>
          <w:sz w:val="22"/>
        </w:rPr>
        <w:t> </w:t>
      </w:r>
      <w:r>
        <w:rPr>
          <w:i/>
          <w:sz w:val="22"/>
        </w:rPr>
        <w:t>Leases</w:t>
      </w:r>
      <w:r>
        <w:rPr>
          <w:i/>
          <w:spacing w:val="-6"/>
          <w:sz w:val="22"/>
        </w:rPr>
        <w:t> </w:t>
      </w:r>
      <w:r>
        <w:rPr>
          <w:i/>
          <w:sz w:val="22"/>
        </w:rPr>
        <w:t>by</w:t>
      </w:r>
      <w:r>
        <w:rPr>
          <w:i/>
          <w:spacing w:val="-6"/>
          <w:sz w:val="22"/>
        </w:rPr>
        <w:t> </w:t>
      </w:r>
      <w:r>
        <w:rPr>
          <w:i/>
          <w:sz w:val="22"/>
        </w:rPr>
        <w:t>Unit</w:t>
      </w:r>
      <w:r>
        <w:rPr>
          <w:i/>
          <w:spacing w:val="-7"/>
          <w:sz w:val="22"/>
        </w:rPr>
        <w:t> </w:t>
      </w:r>
      <w:r>
        <w:rPr>
          <w:i/>
          <w:spacing w:val="-4"/>
          <w:sz w:val="22"/>
        </w:rPr>
        <w:t>Size</w:t>
      </w:r>
    </w:p>
    <w:p>
      <w:pPr>
        <w:pStyle w:val="BodyText"/>
        <w:rPr>
          <w:i/>
          <w:sz w:val="18"/>
        </w:rPr>
      </w:pPr>
    </w:p>
    <w:p>
      <w:pPr>
        <w:pStyle w:val="BodyText"/>
        <w:spacing w:before="36"/>
        <w:rPr>
          <w:i/>
          <w:sz w:val="18"/>
        </w:rPr>
      </w:pPr>
    </w:p>
    <w:p>
      <w:pPr>
        <w:spacing w:line="212" w:lineRule="exact" w:before="0"/>
        <w:ind w:left="1525" w:right="0" w:firstLine="0"/>
        <w:jc w:val="left"/>
        <w:rPr>
          <w:rFonts w:ascii="Calibri"/>
          <w:sz w:val="18"/>
        </w:rPr>
      </w:pPr>
      <w:r>
        <w:rPr>
          <w:rFonts w:ascii="Calibri"/>
          <w:sz w:val="18"/>
        </w:rPr>
        <mc:AlternateContent>
          <mc:Choice Requires="wps">
            <w:drawing>
              <wp:anchor distT="0" distB="0" distL="0" distR="0" allowOverlap="1" layoutInCell="1" locked="0" behindDoc="0" simplePos="0" relativeHeight="15746048">
                <wp:simplePos x="0" y="0"/>
                <wp:positionH relativeFrom="page">
                  <wp:posOffset>1638278</wp:posOffset>
                </wp:positionH>
                <wp:positionV relativeFrom="paragraph">
                  <wp:posOffset>-157050</wp:posOffset>
                </wp:positionV>
                <wp:extent cx="4373245" cy="153543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4373245" cy="1535430"/>
                          <a:chExt cx="4373245" cy="1535430"/>
                        </a:xfrm>
                      </wpg:grpSpPr>
                      <pic:pic>
                        <pic:nvPicPr>
                          <pic:cNvPr id="150" name="Image 150"/>
                          <pic:cNvPicPr/>
                        </pic:nvPicPr>
                        <pic:blipFill>
                          <a:blip r:embed="rId67" cstate="print"/>
                          <a:stretch>
                            <a:fillRect/>
                          </a:stretch>
                        </pic:blipFill>
                        <pic:spPr>
                          <a:xfrm>
                            <a:off x="0" y="40545"/>
                            <a:ext cx="4373188" cy="1494424"/>
                          </a:xfrm>
                          <a:prstGeom prst="rect">
                            <a:avLst/>
                          </a:prstGeom>
                        </pic:spPr>
                      </pic:pic>
                      <wps:wsp>
                        <wps:cNvPr id="151" name="Textbox 151"/>
                        <wps:cNvSpPr txBox="1"/>
                        <wps:spPr>
                          <a:xfrm>
                            <a:off x="365146" y="0"/>
                            <a:ext cx="12890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10</w:t>
                              </w:r>
                            </w:p>
                          </w:txbxContent>
                        </wps:txbx>
                        <wps:bodyPr wrap="square" lIns="0" tIns="0" rIns="0" bIns="0" rtlCol="0">
                          <a:noAutofit/>
                        </wps:bodyPr>
                      </wps:wsp>
                      <wps:wsp>
                        <wps:cNvPr id="152" name="Textbox 152"/>
                        <wps:cNvSpPr txBox="1"/>
                        <wps:spPr>
                          <a:xfrm>
                            <a:off x="2456074" y="130175"/>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9</w:t>
                              </w:r>
                            </w:p>
                          </w:txbxContent>
                        </wps:txbx>
                        <wps:bodyPr wrap="square" lIns="0" tIns="0" rIns="0" bIns="0" rtlCol="0">
                          <a:noAutofit/>
                        </wps:bodyPr>
                      </wps:wsp>
                      <wps:wsp>
                        <wps:cNvPr id="153" name="Textbox 153"/>
                        <wps:cNvSpPr txBox="1"/>
                        <wps:spPr>
                          <a:xfrm>
                            <a:off x="1768750" y="780923"/>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4</w:t>
                              </w:r>
                            </w:p>
                          </w:txbxContent>
                        </wps:txbx>
                        <wps:bodyPr wrap="square" lIns="0" tIns="0" rIns="0" bIns="0" rtlCol="0">
                          <a:noAutofit/>
                        </wps:bodyPr>
                      </wps:wsp>
                      <wps:wsp>
                        <wps:cNvPr id="154" name="Textbox 154"/>
                        <wps:cNvSpPr txBox="1"/>
                        <wps:spPr>
                          <a:xfrm>
                            <a:off x="3143144" y="780923"/>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4</w:t>
                              </w:r>
                            </w:p>
                          </w:txbxContent>
                        </wps:txbx>
                        <wps:bodyPr wrap="square" lIns="0" tIns="0" rIns="0" bIns="0" rtlCol="0">
                          <a:noAutofit/>
                        </wps:bodyPr>
                      </wps:wsp>
                      <wps:wsp>
                        <wps:cNvPr id="155" name="Textbox 155"/>
                        <wps:cNvSpPr txBox="1"/>
                        <wps:spPr>
                          <a:xfrm>
                            <a:off x="3830468" y="1041272"/>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2</w:t>
                              </w:r>
                            </w:p>
                          </w:txbxContent>
                        </wps:txbx>
                        <wps:bodyPr wrap="square" lIns="0" tIns="0" rIns="0" bIns="0" rtlCol="0">
                          <a:noAutofit/>
                        </wps:bodyPr>
                      </wps:wsp>
                      <wps:wsp>
                        <wps:cNvPr id="156" name="Textbox 156"/>
                        <wps:cNvSpPr txBox="1"/>
                        <wps:spPr>
                          <a:xfrm>
                            <a:off x="1081426" y="1171321"/>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1</w:t>
                              </w:r>
                            </w:p>
                          </w:txbxContent>
                        </wps:txbx>
                        <wps:bodyPr wrap="square" lIns="0" tIns="0" rIns="0" bIns="0" rtlCol="0">
                          <a:noAutofit/>
                        </wps:bodyPr>
                      </wps:wsp>
                    </wpg:wgp>
                  </a:graphicData>
                </a:graphic>
              </wp:anchor>
            </w:drawing>
          </mc:Choice>
          <mc:Fallback>
            <w:pict>
              <v:group style="position:absolute;margin-left:128.998322pt;margin-top:-12.366153pt;width:344.35pt;height:120.9pt;mso-position-horizontal-relative:page;mso-position-vertical-relative:paragraph;z-index:15746048" id="docshapegroup118" coordorigin="2580,-247" coordsize="6887,2418">
                <v:shape style="position:absolute;left:2579;top:-184;width:6887;height:2354" type="#_x0000_t75" id="docshape119" stroked="false">
                  <v:imagedata r:id="rId67" o:title=""/>
                </v:shape>
                <v:shape style="position:absolute;left:3155;top:-248;width:203;height:180" type="#_x0000_t202" id="docshape120"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10</w:t>
                        </w:r>
                      </w:p>
                    </w:txbxContent>
                  </v:textbox>
                  <w10:wrap type="none"/>
                </v:shape>
                <v:shape style="position:absolute;left:6447;top:-43;width:112;height:180" type="#_x0000_t202" id="docshape121"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9</w:t>
                        </w:r>
                      </w:p>
                    </w:txbxContent>
                  </v:textbox>
                  <w10:wrap type="none"/>
                </v:shape>
                <v:shape style="position:absolute;left:5365;top:982;width:112;height:180" type="#_x0000_t202" id="docshape122"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4</w:t>
                        </w:r>
                      </w:p>
                    </w:txbxContent>
                  </v:textbox>
                  <w10:wrap type="none"/>
                </v:shape>
                <v:shape style="position:absolute;left:7529;top:982;width:112;height:180" type="#_x0000_t202" id="docshape123"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4</w:t>
                        </w:r>
                      </w:p>
                    </w:txbxContent>
                  </v:textbox>
                  <w10:wrap type="none"/>
                </v:shape>
                <v:shape style="position:absolute;left:8612;top:1392;width:112;height:180" type="#_x0000_t202" id="docshape124"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2</w:t>
                        </w:r>
                      </w:p>
                    </w:txbxContent>
                  </v:textbox>
                  <w10:wrap type="none"/>
                </v:shape>
                <v:shape style="position:absolute;left:4283;top:1597;width:112;height:180" type="#_x0000_t202" id="docshape125"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1</w:t>
                        </w:r>
                      </w:p>
                    </w:txbxContent>
                  </v:textbox>
                  <w10:wrap type="none"/>
                </v:shape>
                <w10:wrap type="none"/>
              </v:group>
            </w:pict>
          </mc:Fallback>
        </mc:AlternateContent>
      </w:r>
      <w:r>
        <w:rPr>
          <w:rFonts w:ascii="Calibri"/>
          <w:color w:val="585858"/>
          <w:spacing w:val="-5"/>
          <w:sz w:val="18"/>
        </w:rPr>
        <w:t>10</w:t>
      </w:r>
    </w:p>
    <w:p>
      <w:pPr>
        <w:spacing w:line="205" w:lineRule="exact" w:before="0"/>
        <w:ind w:left="1616" w:right="0" w:firstLine="0"/>
        <w:jc w:val="left"/>
        <w:rPr>
          <w:rFonts w:ascii="Calibri"/>
          <w:sz w:val="18"/>
        </w:rPr>
      </w:pPr>
      <w:r>
        <w:rPr>
          <w:rFonts w:ascii="Calibri"/>
          <w:color w:val="585858"/>
          <w:spacing w:val="-10"/>
          <w:sz w:val="18"/>
        </w:rPr>
        <w:t>9</w:t>
      </w:r>
    </w:p>
    <w:p>
      <w:pPr>
        <w:spacing w:line="205" w:lineRule="exact" w:before="0"/>
        <w:ind w:left="1616" w:right="0" w:firstLine="0"/>
        <w:jc w:val="left"/>
        <w:rPr>
          <w:rFonts w:ascii="Calibri"/>
          <w:sz w:val="18"/>
        </w:rPr>
      </w:pPr>
      <w:r>
        <w:rPr>
          <w:rFonts w:ascii="Calibri"/>
          <w:color w:val="585858"/>
          <w:spacing w:val="-10"/>
          <w:sz w:val="18"/>
        </w:rPr>
        <w:t>8</w:t>
      </w:r>
    </w:p>
    <w:p>
      <w:pPr>
        <w:spacing w:line="205" w:lineRule="exact" w:before="0"/>
        <w:ind w:left="1616" w:right="0" w:firstLine="0"/>
        <w:jc w:val="left"/>
        <w:rPr>
          <w:rFonts w:ascii="Calibri"/>
          <w:sz w:val="18"/>
        </w:rPr>
      </w:pPr>
      <w:r>
        <w:rPr>
          <w:rFonts w:ascii="Calibri"/>
          <w:color w:val="585858"/>
          <w:spacing w:val="-10"/>
          <w:sz w:val="18"/>
        </w:rPr>
        <w:t>7</w:t>
      </w:r>
    </w:p>
    <w:p>
      <w:pPr>
        <w:spacing w:line="205" w:lineRule="exact" w:before="0"/>
        <w:ind w:left="1616" w:right="0" w:firstLine="0"/>
        <w:jc w:val="left"/>
        <w:rPr>
          <w:rFonts w:ascii="Calibri"/>
          <w:sz w:val="18"/>
        </w:rPr>
      </w:pPr>
      <w:r>
        <w:rPr>
          <w:rFonts w:ascii="Calibri"/>
          <w:color w:val="585858"/>
          <w:spacing w:val="-10"/>
          <w:sz w:val="18"/>
        </w:rPr>
        <w:t>6</w:t>
      </w:r>
    </w:p>
    <w:p>
      <w:pPr>
        <w:spacing w:line="205" w:lineRule="exact" w:before="0"/>
        <w:ind w:left="1616" w:right="0" w:firstLine="0"/>
        <w:jc w:val="left"/>
        <w:rPr>
          <w:rFonts w:ascii="Calibri"/>
          <w:sz w:val="18"/>
        </w:rPr>
      </w:pPr>
      <w:r>
        <w:rPr>
          <w:rFonts w:ascii="Calibri"/>
          <w:color w:val="585858"/>
          <w:spacing w:val="-10"/>
          <w:sz w:val="18"/>
        </w:rPr>
        <w:t>5</w:t>
      </w:r>
    </w:p>
    <w:p>
      <w:pPr>
        <w:spacing w:line="205" w:lineRule="exact" w:before="0"/>
        <w:ind w:left="1616" w:right="0" w:firstLine="0"/>
        <w:jc w:val="left"/>
        <w:rPr>
          <w:rFonts w:ascii="Calibri"/>
          <w:sz w:val="18"/>
        </w:rPr>
      </w:pPr>
      <w:r>
        <w:rPr>
          <w:rFonts w:ascii="Calibri"/>
          <w:color w:val="585858"/>
          <w:spacing w:val="-10"/>
          <w:sz w:val="18"/>
        </w:rPr>
        <w:t>4</w:t>
      </w:r>
    </w:p>
    <w:p>
      <w:pPr>
        <w:spacing w:line="205" w:lineRule="exact" w:before="0"/>
        <w:ind w:left="1616" w:right="0" w:firstLine="0"/>
        <w:jc w:val="left"/>
        <w:rPr>
          <w:rFonts w:ascii="Calibri"/>
          <w:sz w:val="18"/>
        </w:rPr>
      </w:pPr>
      <w:r>
        <w:rPr>
          <w:rFonts w:ascii="Calibri"/>
          <w:color w:val="585858"/>
          <w:spacing w:val="-10"/>
          <w:sz w:val="18"/>
        </w:rPr>
        <w:t>3</w:t>
      </w:r>
    </w:p>
    <w:p>
      <w:pPr>
        <w:spacing w:line="205" w:lineRule="exact" w:before="0"/>
        <w:ind w:left="1616" w:right="0" w:firstLine="0"/>
        <w:jc w:val="left"/>
        <w:rPr>
          <w:rFonts w:ascii="Calibri"/>
          <w:sz w:val="18"/>
        </w:rPr>
      </w:pPr>
      <w:r>
        <w:rPr>
          <w:rFonts w:ascii="Calibri"/>
          <w:color w:val="585858"/>
          <w:spacing w:val="-10"/>
          <w:sz w:val="18"/>
        </w:rPr>
        <w:t>2</w:t>
      </w:r>
    </w:p>
    <w:p>
      <w:pPr>
        <w:spacing w:line="205" w:lineRule="exact" w:before="0"/>
        <w:ind w:left="1616" w:right="0" w:firstLine="0"/>
        <w:jc w:val="left"/>
        <w:rPr>
          <w:rFonts w:ascii="Calibri"/>
          <w:sz w:val="18"/>
        </w:rPr>
      </w:pPr>
      <w:r>
        <w:rPr>
          <w:rFonts w:ascii="Calibri"/>
          <w:color w:val="585858"/>
          <w:spacing w:val="-10"/>
          <w:sz w:val="18"/>
        </w:rPr>
        <w:t>1</w:t>
      </w:r>
    </w:p>
    <w:p>
      <w:pPr>
        <w:spacing w:line="212" w:lineRule="exact" w:before="0"/>
        <w:ind w:left="1616" w:right="0" w:firstLine="0"/>
        <w:jc w:val="left"/>
        <w:rPr>
          <w:rFonts w:ascii="Calibri"/>
          <w:sz w:val="18"/>
        </w:rPr>
      </w:pPr>
      <w:r>
        <w:rPr>
          <w:rFonts w:ascii="Calibri"/>
          <w:color w:val="585858"/>
          <w:spacing w:val="-10"/>
          <w:sz w:val="18"/>
        </w:rPr>
        <w:t>0</w:t>
      </w:r>
    </w:p>
    <w:p>
      <w:pPr>
        <w:tabs>
          <w:tab w:pos="3264" w:val="left" w:leader="none"/>
          <w:tab w:pos="4175" w:val="left" w:leader="none"/>
          <w:tab w:pos="5257" w:val="left" w:leader="none"/>
          <w:tab w:pos="6340" w:val="left" w:leader="none"/>
          <w:tab w:pos="7377" w:val="left" w:leader="none"/>
        </w:tabs>
        <w:spacing w:before="5"/>
        <w:ind w:left="1948" w:right="0" w:firstLine="0"/>
        <w:jc w:val="left"/>
        <w:rPr>
          <w:rFonts w:ascii="Calibri"/>
          <w:sz w:val="18"/>
        </w:rPr>
      </w:pPr>
      <w:r>
        <w:rPr>
          <w:rFonts w:ascii="Calibri"/>
          <w:color w:val="585858"/>
          <w:sz w:val="18"/>
        </w:rPr>
        <w:t>All</w:t>
      </w:r>
      <w:r>
        <w:rPr>
          <w:rFonts w:ascii="Calibri"/>
          <w:color w:val="585858"/>
          <w:spacing w:val="-3"/>
          <w:sz w:val="18"/>
        </w:rPr>
        <w:t> </w:t>
      </w:r>
      <w:r>
        <w:rPr>
          <w:rFonts w:ascii="Calibri"/>
          <w:color w:val="585858"/>
          <w:sz w:val="18"/>
        </w:rPr>
        <w:t>Unit</w:t>
      </w:r>
      <w:r>
        <w:rPr>
          <w:rFonts w:ascii="Calibri"/>
          <w:color w:val="585858"/>
          <w:spacing w:val="-1"/>
          <w:sz w:val="18"/>
        </w:rPr>
        <w:t> </w:t>
      </w:r>
      <w:r>
        <w:rPr>
          <w:rFonts w:ascii="Calibri"/>
          <w:color w:val="585858"/>
          <w:spacing w:val="-2"/>
          <w:sz w:val="18"/>
        </w:rPr>
        <w:t>Sizes</w:t>
      </w:r>
      <w:r>
        <w:rPr>
          <w:rFonts w:ascii="Calibri"/>
          <w:color w:val="585858"/>
          <w:sz w:val="18"/>
        </w:rPr>
        <w:tab/>
      </w:r>
      <w:r>
        <w:rPr>
          <w:rFonts w:ascii="Calibri"/>
          <w:color w:val="585858"/>
          <w:spacing w:val="-2"/>
          <w:sz w:val="18"/>
        </w:rPr>
        <w:t>Studio</w:t>
      </w:r>
      <w:r>
        <w:rPr>
          <w:rFonts w:ascii="Calibri"/>
          <w:color w:val="585858"/>
          <w:sz w:val="18"/>
        </w:rPr>
        <w:tab/>
        <w:t>1 </w:t>
      </w:r>
      <w:r>
        <w:rPr>
          <w:rFonts w:ascii="Calibri"/>
          <w:color w:val="585858"/>
          <w:spacing w:val="-2"/>
          <w:sz w:val="18"/>
        </w:rPr>
        <w:t>Bedroom</w:t>
      </w:r>
      <w:r>
        <w:rPr>
          <w:rFonts w:ascii="Calibri"/>
          <w:color w:val="585858"/>
          <w:sz w:val="18"/>
        </w:rPr>
        <w:tab/>
        <w:t>2 </w:t>
      </w:r>
      <w:r>
        <w:rPr>
          <w:rFonts w:ascii="Calibri"/>
          <w:color w:val="585858"/>
          <w:spacing w:val="-2"/>
          <w:sz w:val="18"/>
        </w:rPr>
        <w:t>Bedroom</w:t>
      </w:r>
      <w:r>
        <w:rPr>
          <w:rFonts w:ascii="Calibri"/>
          <w:color w:val="585858"/>
          <w:sz w:val="18"/>
        </w:rPr>
        <w:tab/>
        <w:t>3 </w:t>
      </w:r>
      <w:r>
        <w:rPr>
          <w:rFonts w:ascii="Calibri"/>
          <w:color w:val="585858"/>
          <w:spacing w:val="-2"/>
          <w:sz w:val="18"/>
        </w:rPr>
        <w:t>Bedroom</w:t>
      </w:r>
      <w:r>
        <w:rPr>
          <w:rFonts w:ascii="Calibri"/>
          <w:color w:val="585858"/>
          <w:sz w:val="18"/>
        </w:rPr>
        <w:tab/>
        <w:t>4+</w:t>
      </w:r>
      <w:r>
        <w:rPr>
          <w:rFonts w:ascii="Calibri"/>
          <w:color w:val="585858"/>
          <w:spacing w:val="-3"/>
          <w:sz w:val="18"/>
        </w:rPr>
        <w:t> </w:t>
      </w:r>
      <w:r>
        <w:rPr>
          <w:rFonts w:ascii="Calibri"/>
          <w:color w:val="585858"/>
          <w:spacing w:val="-2"/>
          <w:sz w:val="18"/>
        </w:rPr>
        <w:t>Bedroom</w:t>
      </w:r>
    </w:p>
    <w:p>
      <w:pPr>
        <w:spacing w:before="165"/>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3"/>
          <w:sz w:val="16"/>
        </w:rPr>
        <w:t> </w:t>
      </w:r>
      <w:r>
        <w:rPr>
          <w:rFonts w:ascii="Arial MT"/>
          <w:spacing w:val="-2"/>
          <w:sz w:val="16"/>
        </w:rPr>
        <w:t>2021.</w:t>
      </w:r>
    </w:p>
    <w:p>
      <w:pPr>
        <w:spacing w:after="0"/>
        <w:jc w:val="left"/>
        <w:rPr>
          <w:rFonts w:ascii="Arial MT"/>
          <w:sz w:val="16"/>
        </w:rPr>
        <w:sectPr>
          <w:pgSz w:w="12240" w:h="15840"/>
          <w:pgMar w:header="0" w:footer="502" w:top="1700" w:bottom="700" w:left="720" w:right="720"/>
        </w:sectPr>
      </w:pPr>
    </w:p>
    <w:p>
      <w:pPr>
        <w:spacing w:before="78"/>
        <w:ind w:left="1008" w:right="0" w:firstLine="0"/>
        <w:jc w:val="left"/>
        <w:rPr>
          <w:i/>
          <w:sz w:val="22"/>
        </w:rPr>
      </w:pPr>
      <w:r>
        <w:rPr>
          <w:i/>
          <w:sz w:val="22"/>
        </w:rPr>
        <w:t>Figure</w:t>
      </w:r>
      <w:r>
        <w:rPr>
          <w:i/>
          <w:spacing w:val="-6"/>
          <w:sz w:val="22"/>
        </w:rPr>
        <w:t> </w:t>
      </w:r>
      <w:r>
        <w:rPr>
          <w:i/>
          <w:sz w:val="22"/>
        </w:rPr>
        <w:t>9:</w:t>
      </w:r>
      <w:r>
        <w:rPr>
          <w:i/>
          <w:spacing w:val="44"/>
          <w:sz w:val="22"/>
        </w:rPr>
        <w:t> </w:t>
      </w:r>
      <w:r>
        <w:rPr>
          <w:i/>
          <w:sz w:val="22"/>
        </w:rPr>
        <w:t>Number</w:t>
      </w:r>
      <w:r>
        <w:rPr>
          <w:i/>
          <w:spacing w:val="-5"/>
          <w:sz w:val="22"/>
        </w:rPr>
        <w:t> </w:t>
      </w:r>
      <w:r>
        <w:rPr>
          <w:i/>
          <w:sz w:val="22"/>
        </w:rPr>
        <w:t>of</w:t>
      </w:r>
      <w:r>
        <w:rPr>
          <w:i/>
          <w:spacing w:val="-6"/>
          <w:sz w:val="22"/>
        </w:rPr>
        <w:t> </w:t>
      </w:r>
      <w:r>
        <w:rPr>
          <w:i/>
          <w:sz w:val="22"/>
        </w:rPr>
        <w:t>Respondents</w:t>
      </w:r>
      <w:r>
        <w:rPr>
          <w:i/>
          <w:spacing w:val="-6"/>
          <w:sz w:val="22"/>
        </w:rPr>
        <w:t> </w:t>
      </w:r>
      <w:r>
        <w:rPr>
          <w:i/>
          <w:sz w:val="22"/>
        </w:rPr>
        <w:t>Offering</w:t>
      </w:r>
      <w:r>
        <w:rPr>
          <w:i/>
          <w:spacing w:val="-7"/>
          <w:sz w:val="22"/>
        </w:rPr>
        <w:t> </w:t>
      </w:r>
      <w:r>
        <w:rPr>
          <w:i/>
          <w:sz w:val="22"/>
        </w:rPr>
        <w:t>Furnished</w:t>
      </w:r>
      <w:r>
        <w:rPr>
          <w:i/>
          <w:spacing w:val="-6"/>
          <w:sz w:val="22"/>
        </w:rPr>
        <w:t> </w:t>
      </w:r>
      <w:r>
        <w:rPr>
          <w:i/>
          <w:sz w:val="22"/>
        </w:rPr>
        <w:t>Bed</w:t>
      </w:r>
      <w:r>
        <w:rPr>
          <w:i/>
          <w:spacing w:val="-7"/>
          <w:sz w:val="22"/>
        </w:rPr>
        <w:t> </w:t>
      </w:r>
      <w:r>
        <w:rPr>
          <w:i/>
          <w:sz w:val="22"/>
        </w:rPr>
        <w:t>Leases</w:t>
      </w:r>
      <w:r>
        <w:rPr>
          <w:i/>
          <w:spacing w:val="-6"/>
          <w:sz w:val="22"/>
        </w:rPr>
        <w:t> </w:t>
      </w:r>
      <w:r>
        <w:rPr>
          <w:i/>
          <w:sz w:val="22"/>
        </w:rPr>
        <w:t>by</w:t>
      </w:r>
      <w:r>
        <w:rPr>
          <w:i/>
          <w:spacing w:val="-5"/>
          <w:sz w:val="22"/>
        </w:rPr>
        <w:t> </w:t>
      </w:r>
      <w:r>
        <w:rPr>
          <w:i/>
          <w:sz w:val="22"/>
        </w:rPr>
        <w:t>Unit</w:t>
      </w:r>
      <w:r>
        <w:rPr>
          <w:i/>
          <w:spacing w:val="-7"/>
          <w:sz w:val="22"/>
        </w:rPr>
        <w:t> </w:t>
      </w:r>
      <w:r>
        <w:rPr>
          <w:i/>
          <w:spacing w:val="-4"/>
          <w:sz w:val="22"/>
        </w:rPr>
        <w:t>Size</w:t>
      </w:r>
    </w:p>
    <w:p>
      <w:pPr>
        <w:pStyle w:val="BodyText"/>
        <w:spacing w:before="110"/>
        <w:rPr>
          <w:i/>
          <w:sz w:val="20"/>
        </w:rPr>
      </w:pPr>
    </w:p>
    <w:p>
      <w:pPr>
        <w:pStyle w:val="BodyText"/>
        <w:spacing w:after="0"/>
        <w:rPr>
          <w:i/>
          <w:sz w:val="20"/>
        </w:rPr>
        <w:sectPr>
          <w:pgSz w:w="12240" w:h="15840"/>
          <w:pgMar w:header="0" w:footer="502" w:top="1700" w:bottom="700" w:left="720" w:right="720"/>
        </w:sectPr>
      </w:pPr>
    </w:p>
    <w:p>
      <w:pPr>
        <w:spacing w:line="189" w:lineRule="exact" w:before="63"/>
        <w:ind w:left="0" w:right="385" w:firstLine="0"/>
        <w:jc w:val="center"/>
        <w:rPr>
          <w:rFonts w:ascii="Calibri"/>
          <w:sz w:val="18"/>
        </w:rPr>
      </w:pPr>
      <w:r>
        <w:rPr>
          <w:rFonts w:ascii="Calibri"/>
          <w:sz w:val="18"/>
        </w:rPr>
        <mc:AlternateContent>
          <mc:Choice Requires="wps">
            <w:drawing>
              <wp:anchor distT="0" distB="0" distL="0" distR="0" allowOverlap="1" layoutInCell="1" locked="0" behindDoc="0" simplePos="0" relativeHeight="15746560">
                <wp:simplePos x="0" y="0"/>
                <wp:positionH relativeFrom="page">
                  <wp:posOffset>1917174</wp:posOffset>
                </wp:positionH>
                <wp:positionV relativeFrom="paragraph">
                  <wp:posOffset>-159252</wp:posOffset>
                </wp:positionV>
                <wp:extent cx="4082415" cy="1280160"/>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4082415" cy="1280160"/>
                          <a:chExt cx="4082415" cy="1280160"/>
                        </a:xfrm>
                      </wpg:grpSpPr>
                      <pic:pic>
                        <pic:nvPicPr>
                          <pic:cNvPr id="158" name="Image 158"/>
                          <pic:cNvPicPr/>
                        </pic:nvPicPr>
                        <pic:blipFill>
                          <a:blip r:embed="rId68" cstate="print"/>
                          <a:stretch>
                            <a:fillRect/>
                          </a:stretch>
                        </pic:blipFill>
                        <pic:spPr>
                          <a:xfrm>
                            <a:off x="0" y="66117"/>
                            <a:ext cx="4082093" cy="1213940"/>
                          </a:xfrm>
                          <a:prstGeom prst="rect">
                            <a:avLst/>
                          </a:prstGeom>
                        </pic:spPr>
                      </pic:pic>
                      <wps:wsp>
                        <wps:cNvPr id="159" name="Textbox 159"/>
                        <wps:cNvSpPr txBox="1"/>
                        <wps:spPr>
                          <a:xfrm>
                            <a:off x="446549" y="0"/>
                            <a:ext cx="128905"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5"/>
                                  <w:sz w:val="18"/>
                                </w:rPr>
                                <w:t>10</w:t>
                              </w:r>
                            </w:p>
                          </w:txbxContent>
                        </wps:txbx>
                        <wps:bodyPr wrap="square" lIns="0" tIns="0" rIns="0" bIns="0" rtlCol="0">
                          <a:noAutofit/>
                        </wps:bodyPr>
                      </wps:wsp>
                      <wps:wsp>
                        <wps:cNvPr id="160" name="Textbox 160"/>
                        <wps:cNvSpPr txBox="1"/>
                        <wps:spPr>
                          <a:xfrm>
                            <a:off x="3486294" y="237363"/>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8</w:t>
                              </w:r>
                            </w:p>
                          </w:txbxContent>
                        </wps:txbx>
                        <wps:bodyPr wrap="square" lIns="0" tIns="0" rIns="0" bIns="0" rtlCol="0">
                          <a:noAutofit/>
                        </wps:bodyPr>
                      </wps:wsp>
                      <wps:wsp>
                        <wps:cNvPr id="161" name="Textbox 161"/>
                        <wps:cNvSpPr txBox="1"/>
                        <wps:spPr>
                          <a:xfrm>
                            <a:off x="1961659" y="337947"/>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7</w:t>
                              </w:r>
                            </w:p>
                          </w:txbxContent>
                        </wps:txbx>
                        <wps:bodyPr wrap="square" lIns="0" tIns="0" rIns="0" bIns="0" rtlCol="0">
                          <a:noAutofit/>
                        </wps:bodyPr>
                      </wps:wsp>
                      <wps:wsp>
                        <wps:cNvPr id="162" name="Textbox 162"/>
                        <wps:cNvSpPr txBox="1"/>
                        <wps:spPr>
                          <a:xfrm>
                            <a:off x="2724040" y="438276"/>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6</w:t>
                              </w:r>
                            </w:p>
                          </w:txbxContent>
                        </wps:txbx>
                        <wps:bodyPr wrap="square" lIns="0" tIns="0" rIns="0" bIns="0" rtlCol="0">
                          <a:noAutofit/>
                        </wps:bodyPr>
                      </wps:wsp>
                      <wps:wsp>
                        <wps:cNvPr id="163" name="Textbox 163"/>
                        <wps:cNvSpPr txBox="1"/>
                        <wps:spPr>
                          <a:xfrm>
                            <a:off x="1199659" y="639063"/>
                            <a:ext cx="71120" cy="114300"/>
                          </a:xfrm>
                          <a:prstGeom prst="rect">
                            <a:avLst/>
                          </a:prstGeom>
                        </wps:spPr>
                        <wps:txbx>
                          <w:txbxContent>
                            <w:p>
                              <w:pPr>
                                <w:spacing w:line="180" w:lineRule="exact" w:before="0"/>
                                <w:ind w:left="0" w:right="0" w:firstLine="0"/>
                                <w:jc w:val="left"/>
                                <w:rPr>
                                  <w:rFonts w:ascii="Calibri"/>
                                  <w:sz w:val="18"/>
                                </w:rPr>
                              </w:pPr>
                              <w:r>
                                <w:rPr>
                                  <w:rFonts w:ascii="Calibri"/>
                                  <w:color w:val="404040"/>
                                  <w:spacing w:val="-10"/>
                                  <w:sz w:val="18"/>
                                </w:rPr>
                                <w:t>4</w:t>
                              </w:r>
                            </w:p>
                          </w:txbxContent>
                        </wps:txbx>
                        <wps:bodyPr wrap="square" lIns="0" tIns="0" rIns="0" bIns="0" rtlCol="0">
                          <a:noAutofit/>
                        </wps:bodyPr>
                      </wps:wsp>
                    </wpg:wgp>
                  </a:graphicData>
                </a:graphic>
              </wp:anchor>
            </w:drawing>
          </mc:Choice>
          <mc:Fallback>
            <w:pict>
              <v:group style="position:absolute;margin-left:150.958603pt;margin-top:-12.53957pt;width:321.45pt;height:100.8pt;mso-position-horizontal-relative:page;mso-position-vertical-relative:paragraph;z-index:15746560" id="docshapegroup126" coordorigin="3019,-251" coordsize="6429,2016">
                <v:shape style="position:absolute;left:3019;top:-147;width:6429;height:1912" type="#_x0000_t75" id="docshape127" stroked="false">
                  <v:imagedata r:id="rId68" o:title=""/>
                </v:shape>
                <v:shape style="position:absolute;left:3722;top:-251;width:203;height:180" type="#_x0000_t202" id="docshape128" filled="false" stroked="false">
                  <v:textbox inset="0,0,0,0">
                    <w:txbxContent>
                      <w:p>
                        <w:pPr>
                          <w:spacing w:line="180" w:lineRule="exact" w:before="0"/>
                          <w:ind w:left="0" w:right="0" w:firstLine="0"/>
                          <w:jc w:val="left"/>
                          <w:rPr>
                            <w:rFonts w:ascii="Calibri"/>
                            <w:sz w:val="18"/>
                          </w:rPr>
                        </w:pPr>
                        <w:r>
                          <w:rPr>
                            <w:rFonts w:ascii="Calibri"/>
                            <w:color w:val="404040"/>
                            <w:spacing w:val="-5"/>
                            <w:sz w:val="18"/>
                          </w:rPr>
                          <w:t>10</w:t>
                        </w:r>
                      </w:p>
                    </w:txbxContent>
                  </v:textbox>
                  <w10:wrap type="none"/>
                </v:shape>
                <v:shape style="position:absolute;left:8509;top:123;width:112;height:180" type="#_x0000_t202" id="docshape129"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8</w:t>
                        </w:r>
                      </w:p>
                    </w:txbxContent>
                  </v:textbox>
                  <w10:wrap type="none"/>
                </v:shape>
                <v:shape style="position:absolute;left:6108;top:281;width:112;height:180" type="#_x0000_t202" id="docshape130"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7</w:t>
                        </w:r>
                      </w:p>
                    </w:txbxContent>
                  </v:textbox>
                  <w10:wrap type="none"/>
                </v:shape>
                <v:shape style="position:absolute;left:7309;top:439;width:112;height:180" type="#_x0000_t202" id="docshape131"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6</w:t>
                        </w:r>
                      </w:p>
                    </w:txbxContent>
                  </v:textbox>
                  <w10:wrap type="none"/>
                </v:shape>
                <v:shape style="position:absolute;left:4908;top:755;width:112;height:180" type="#_x0000_t202" id="docshape132" filled="false" stroked="false">
                  <v:textbox inset="0,0,0,0">
                    <w:txbxContent>
                      <w:p>
                        <w:pPr>
                          <w:spacing w:line="180" w:lineRule="exact" w:before="0"/>
                          <w:ind w:left="0" w:right="0" w:firstLine="0"/>
                          <w:jc w:val="left"/>
                          <w:rPr>
                            <w:rFonts w:ascii="Calibri"/>
                            <w:sz w:val="18"/>
                          </w:rPr>
                        </w:pPr>
                        <w:r>
                          <w:rPr>
                            <w:rFonts w:ascii="Calibri"/>
                            <w:color w:val="404040"/>
                            <w:spacing w:val="-10"/>
                            <w:sz w:val="18"/>
                          </w:rPr>
                          <w:t>4</w:t>
                        </w:r>
                      </w:p>
                    </w:txbxContent>
                  </v:textbox>
                  <w10:wrap type="none"/>
                </v:shape>
                <w10:wrap type="none"/>
              </v:group>
            </w:pict>
          </mc:Fallback>
        </mc:AlternateContent>
      </w:r>
      <w:r>
        <w:rPr>
          <w:rFonts w:ascii="Calibri"/>
          <w:color w:val="585858"/>
          <w:spacing w:val="-5"/>
          <w:sz w:val="18"/>
        </w:rPr>
        <w:t>10</w:t>
      </w:r>
    </w:p>
    <w:p>
      <w:pPr>
        <w:spacing w:line="158" w:lineRule="exact" w:before="0"/>
        <w:ind w:left="91" w:right="385" w:firstLine="0"/>
        <w:jc w:val="center"/>
        <w:rPr>
          <w:rFonts w:ascii="Calibri"/>
          <w:sz w:val="18"/>
        </w:rPr>
      </w:pPr>
      <w:r>
        <w:rPr>
          <w:rFonts w:ascii="Calibri"/>
          <w:color w:val="585858"/>
          <w:spacing w:val="-10"/>
          <w:sz w:val="18"/>
        </w:rPr>
        <w:t>9</w:t>
      </w:r>
    </w:p>
    <w:p>
      <w:pPr>
        <w:spacing w:line="158" w:lineRule="exact" w:before="0"/>
        <w:ind w:left="91" w:right="385" w:firstLine="0"/>
        <w:jc w:val="center"/>
        <w:rPr>
          <w:rFonts w:ascii="Calibri"/>
          <w:sz w:val="18"/>
        </w:rPr>
      </w:pPr>
      <w:r>
        <w:rPr>
          <w:rFonts w:ascii="Calibri"/>
          <w:color w:val="585858"/>
          <w:spacing w:val="-10"/>
          <w:sz w:val="18"/>
        </w:rPr>
        <w:t>8</w:t>
      </w:r>
    </w:p>
    <w:p>
      <w:pPr>
        <w:spacing w:line="158" w:lineRule="exact" w:before="0"/>
        <w:ind w:left="91" w:right="385" w:firstLine="0"/>
        <w:jc w:val="center"/>
        <w:rPr>
          <w:rFonts w:ascii="Calibri"/>
          <w:sz w:val="18"/>
        </w:rPr>
      </w:pPr>
      <w:r>
        <w:rPr>
          <w:rFonts w:ascii="Calibri"/>
          <w:color w:val="585858"/>
          <w:spacing w:val="-10"/>
          <w:sz w:val="18"/>
        </w:rPr>
        <w:t>7</w:t>
      </w:r>
    </w:p>
    <w:p>
      <w:pPr>
        <w:spacing w:line="158" w:lineRule="exact" w:before="0"/>
        <w:ind w:left="91" w:right="385" w:firstLine="0"/>
        <w:jc w:val="center"/>
        <w:rPr>
          <w:rFonts w:ascii="Calibri"/>
          <w:sz w:val="18"/>
        </w:rPr>
      </w:pPr>
      <w:r>
        <w:rPr>
          <w:rFonts w:ascii="Calibri"/>
          <w:color w:val="585858"/>
          <w:spacing w:val="-10"/>
          <w:sz w:val="18"/>
        </w:rPr>
        <w:t>6</w:t>
      </w:r>
    </w:p>
    <w:p>
      <w:pPr>
        <w:spacing w:line="158" w:lineRule="exact" w:before="0"/>
        <w:ind w:left="91" w:right="385" w:firstLine="0"/>
        <w:jc w:val="center"/>
        <w:rPr>
          <w:rFonts w:ascii="Calibri"/>
          <w:sz w:val="18"/>
        </w:rPr>
      </w:pPr>
      <w:r>
        <w:rPr>
          <w:rFonts w:ascii="Calibri"/>
          <w:color w:val="585858"/>
          <w:spacing w:val="-10"/>
          <w:sz w:val="18"/>
        </w:rPr>
        <w:t>5</w:t>
      </w:r>
    </w:p>
    <w:p>
      <w:pPr>
        <w:spacing w:line="158" w:lineRule="exact" w:before="0"/>
        <w:ind w:left="91" w:right="385" w:firstLine="0"/>
        <w:jc w:val="center"/>
        <w:rPr>
          <w:rFonts w:ascii="Calibri"/>
          <w:sz w:val="18"/>
        </w:rPr>
      </w:pPr>
      <w:r>
        <w:rPr>
          <w:rFonts w:ascii="Calibri"/>
          <w:color w:val="585858"/>
          <w:spacing w:val="-10"/>
          <w:sz w:val="18"/>
        </w:rPr>
        <w:t>4</w:t>
      </w:r>
    </w:p>
    <w:p>
      <w:pPr>
        <w:spacing w:line="158" w:lineRule="exact" w:before="0"/>
        <w:ind w:left="91" w:right="385" w:firstLine="0"/>
        <w:jc w:val="center"/>
        <w:rPr>
          <w:rFonts w:ascii="Calibri"/>
          <w:sz w:val="18"/>
        </w:rPr>
      </w:pPr>
      <w:r>
        <w:rPr>
          <w:rFonts w:ascii="Calibri"/>
          <w:color w:val="585858"/>
          <w:spacing w:val="-10"/>
          <w:sz w:val="18"/>
        </w:rPr>
        <w:t>3</w:t>
      </w:r>
    </w:p>
    <w:p>
      <w:pPr>
        <w:spacing w:line="158" w:lineRule="exact" w:before="0"/>
        <w:ind w:left="91" w:right="385" w:firstLine="0"/>
        <w:jc w:val="center"/>
        <w:rPr>
          <w:rFonts w:ascii="Calibri"/>
          <w:sz w:val="18"/>
        </w:rPr>
      </w:pPr>
      <w:r>
        <w:rPr>
          <w:rFonts w:ascii="Calibri"/>
          <w:color w:val="585858"/>
          <w:spacing w:val="-10"/>
          <w:sz w:val="18"/>
        </w:rPr>
        <w:t>2</w:t>
      </w:r>
    </w:p>
    <w:p>
      <w:pPr>
        <w:spacing w:line="158" w:lineRule="exact" w:before="0"/>
        <w:ind w:left="91" w:right="385" w:firstLine="0"/>
        <w:jc w:val="center"/>
        <w:rPr>
          <w:rFonts w:ascii="Calibri"/>
          <w:sz w:val="18"/>
        </w:rPr>
      </w:pPr>
      <w:r>
        <w:rPr>
          <w:rFonts w:ascii="Calibri"/>
          <w:color w:val="585858"/>
          <w:spacing w:val="-10"/>
          <w:sz w:val="18"/>
        </w:rPr>
        <w:t>1</w:t>
      </w:r>
    </w:p>
    <w:p>
      <w:pPr>
        <w:spacing w:line="189" w:lineRule="exact" w:before="0"/>
        <w:ind w:left="91" w:right="385" w:firstLine="0"/>
        <w:jc w:val="center"/>
        <w:rPr>
          <w:rFonts w:ascii="Calibri"/>
          <w:sz w:val="18"/>
        </w:rPr>
      </w:pPr>
      <w:r>
        <w:rPr>
          <w:rFonts w:ascii="Calibri"/>
          <w:color w:val="585858"/>
          <w:spacing w:val="-10"/>
          <w:sz w:val="18"/>
        </w:rPr>
        <w:t>0</w:t>
      </w:r>
    </w:p>
    <w:p>
      <w:pPr>
        <w:tabs>
          <w:tab w:pos="1285" w:val="left" w:leader="none"/>
        </w:tabs>
        <w:spacing w:before="6"/>
        <w:ind w:left="0" w:right="0" w:firstLine="0"/>
        <w:jc w:val="right"/>
        <w:rPr>
          <w:rFonts w:ascii="Calibri"/>
          <w:sz w:val="18"/>
        </w:rPr>
      </w:pPr>
      <w:r>
        <w:rPr>
          <w:rFonts w:ascii="Calibri"/>
          <w:color w:val="585858"/>
          <w:sz w:val="18"/>
        </w:rPr>
        <w:t>All</w:t>
      </w:r>
      <w:r>
        <w:rPr>
          <w:rFonts w:ascii="Calibri"/>
          <w:color w:val="585858"/>
          <w:spacing w:val="-3"/>
          <w:sz w:val="18"/>
        </w:rPr>
        <w:t> </w:t>
      </w:r>
      <w:r>
        <w:rPr>
          <w:rFonts w:ascii="Calibri"/>
          <w:color w:val="585858"/>
          <w:sz w:val="18"/>
        </w:rPr>
        <w:t>Unit</w:t>
      </w:r>
      <w:r>
        <w:rPr>
          <w:rFonts w:ascii="Calibri"/>
          <w:color w:val="585858"/>
          <w:spacing w:val="-1"/>
          <w:sz w:val="18"/>
        </w:rPr>
        <w:t> </w:t>
      </w:r>
      <w:r>
        <w:rPr>
          <w:rFonts w:ascii="Calibri"/>
          <w:color w:val="585858"/>
          <w:spacing w:val="-2"/>
          <w:sz w:val="18"/>
        </w:rPr>
        <w:t>Sizes</w:t>
      </w:r>
      <w:r>
        <w:rPr>
          <w:rFonts w:ascii="Calibri"/>
          <w:color w:val="585858"/>
          <w:sz w:val="18"/>
        </w:rPr>
        <w:tab/>
        <w:t>Studio</w:t>
      </w:r>
      <w:r>
        <w:rPr>
          <w:rFonts w:ascii="Calibri"/>
          <w:color w:val="585858"/>
          <w:spacing w:val="-3"/>
          <w:sz w:val="18"/>
        </w:rPr>
        <w:t> </w:t>
      </w:r>
      <w:r>
        <w:rPr>
          <w:rFonts w:ascii="Calibri"/>
          <w:color w:val="585858"/>
          <w:sz w:val="18"/>
        </w:rPr>
        <w:t>&amp;</w:t>
      </w:r>
      <w:r>
        <w:rPr>
          <w:rFonts w:ascii="Calibri"/>
          <w:color w:val="585858"/>
          <w:spacing w:val="-2"/>
          <w:sz w:val="18"/>
        </w:rPr>
        <w:t> </w:t>
      </w:r>
      <w:r>
        <w:rPr>
          <w:rFonts w:ascii="Calibri"/>
          <w:color w:val="585858"/>
          <w:spacing w:val="-10"/>
          <w:sz w:val="18"/>
        </w:rPr>
        <w:t>1</w:t>
      </w:r>
    </w:p>
    <w:p>
      <w:pPr>
        <w:spacing w:before="0"/>
        <w:ind w:left="0" w:right="40" w:firstLine="0"/>
        <w:jc w:val="right"/>
        <w:rPr>
          <w:rFonts w:ascii="Calibri"/>
          <w:sz w:val="18"/>
        </w:rPr>
      </w:pPr>
      <w:r>
        <w:rPr>
          <w:rFonts w:ascii="Calibri"/>
          <w:color w:val="585858"/>
          <w:spacing w:val="-2"/>
          <w:sz w:val="18"/>
        </w:rPr>
        <w:t>Bedroom</w:t>
      </w:r>
    </w:p>
    <w:p>
      <w:pPr>
        <w:spacing w:line="240" w:lineRule="auto" w:before="0"/>
        <w:rPr>
          <w:rFonts w:ascii="Calibri"/>
          <w:sz w:val="18"/>
        </w:rPr>
      </w:pPr>
      <w:r>
        <w:rPr/>
        <w:br w:type="column"/>
      </w:r>
      <w:r>
        <w:rPr>
          <w:rFonts w:ascii="Calibri"/>
          <w:sz w:val="18"/>
        </w:rPr>
      </w: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rPr>
          <w:rFonts w:ascii="Calibri"/>
          <w:sz w:val="18"/>
        </w:rPr>
      </w:pPr>
    </w:p>
    <w:p>
      <w:pPr>
        <w:pStyle w:val="BodyText"/>
        <w:spacing w:before="112"/>
        <w:rPr>
          <w:rFonts w:ascii="Calibri"/>
          <w:sz w:val="18"/>
        </w:rPr>
      </w:pPr>
    </w:p>
    <w:p>
      <w:pPr>
        <w:tabs>
          <w:tab w:pos="1574" w:val="left" w:leader="none"/>
          <w:tab w:pos="2729" w:val="left" w:leader="none"/>
        </w:tabs>
        <w:spacing w:before="0"/>
        <w:ind w:left="374" w:right="0" w:firstLine="0"/>
        <w:jc w:val="left"/>
        <w:rPr>
          <w:rFonts w:ascii="Calibri"/>
          <w:sz w:val="18"/>
        </w:rPr>
      </w:pPr>
      <w:r>
        <w:rPr>
          <w:rFonts w:ascii="Calibri"/>
          <w:color w:val="585858"/>
          <w:sz w:val="18"/>
        </w:rPr>
        <w:t>2 </w:t>
      </w:r>
      <w:r>
        <w:rPr>
          <w:rFonts w:ascii="Calibri"/>
          <w:color w:val="585858"/>
          <w:spacing w:val="-2"/>
          <w:sz w:val="18"/>
        </w:rPr>
        <w:t>Bedroom</w:t>
      </w:r>
      <w:r>
        <w:rPr>
          <w:rFonts w:ascii="Calibri"/>
          <w:color w:val="585858"/>
          <w:sz w:val="18"/>
        </w:rPr>
        <w:tab/>
        <w:t>3 </w:t>
      </w:r>
      <w:r>
        <w:rPr>
          <w:rFonts w:ascii="Calibri"/>
          <w:color w:val="585858"/>
          <w:spacing w:val="-2"/>
          <w:sz w:val="18"/>
        </w:rPr>
        <w:t>Bedroom</w:t>
      </w:r>
      <w:r>
        <w:rPr>
          <w:rFonts w:ascii="Calibri"/>
          <w:color w:val="585858"/>
          <w:sz w:val="18"/>
        </w:rPr>
        <w:tab/>
        <w:t>4+</w:t>
      </w:r>
      <w:r>
        <w:rPr>
          <w:rFonts w:ascii="Calibri"/>
          <w:color w:val="585858"/>
          <w:spacing w:val="-1"/>
          <w:sz w:val="18"/>
        </w:rPr>
        <w:t> </w:t>
      </w:r>
      <w:r>
        <w:rPr>
          <w:rFonts w:ascii="Calibri"/>
          <w:color w:val="585858"/>
          <w:spacing w:val="-2"/>
          <w:sz w:val="18"/>
        </w:rPr>
        <w:t>Bedroom</w:t>
      </w:r>
    </w:p>
    <w:p>
      <w:pPr>
        <w:spacing w:after="0"/>
        <w:jc w:val="left"/>
        <w:rPr>
          <w:rFonts w:ascii="Calibri"/>
          <w:sz w:val="18"/>
        </w:rPr>
        <w:sectPr>
          <w:type w:val="continuous"/>
          <w:pgSz w:w="12240" w:h="15840"/>
          <w:pgMar w:header="0" w:footer="502" w:top="360" w:bottom="280" w:left="720" w:right="720"/>
          <w:cols w:num="2" w:equalWidth="0">
            <w:col w:w="4494" w:space="40"/>
            <w:col w:w="6266"/>
          </w:cols>
        </w:sectPr>
      </w:pPr>
    </w:p>
    <w:p>
      <w:pPr>
        <w:pStyle w:val="BodyText"/>
        <w:spacing w:before="10"/>
        <w:rPr>
          <w:rFonts w:ascii="Calibri"/>
          <w:sz w:val="16"/>
        </w:rPr>
      </w:pPr>
    </w:p>
    <w:p>
      <w:pPr>
        <w:spacing w:before="0"/>
        <w:ind w:left="1008" w:right="0" w:firstLine="0"/>
        <w:jc w:val="left"/>
        <w:rPr>
          <w:rFonts w:ascii="Arial MT"/>
          <w:sz w:val="16"/>
        </w:rPr>
      </w:pPr>
      <w:r>
        <w:rPr>
          <w:rFonts w:ascii="Arial MT"/>
          <w:sz w:val="16"/>
        </w:rPr>
        <w:t>Source:</w:t>
      </w:r>
      <w:r>
        <w:rPr>
          <w:rFonts w:ascii="Arial MT"/>
          <w:spacing w:val="38"/>
          <w:sz w:val="16"/>
        </w:rPr>
        <w:t> </w:t>
      </w:r>
      <w:r>
        <w:rPr>
          <w:rFonts w:ascii="Arial MT"/>
          <w:sz w:val="16"/>
        </w:rPr>
        <w:t>BAE,</w:t>
      </w:r>
      <w:r>
        <w:rPr>
          <w:rFonts w:ascii="Arial MT"/>
          <w:spacing w:val="-3"/>
          <w:sz w:val="16"/>
        </w:rPr>
        <w:t> </w:t>
      </w:r>
      <w:r>
        <w:rPr>
          <w:rFonts w:ascii="Arial MT"/>
          <w:spacing w:val="-2"/>
          <w:sz w:val="16"/>
        </w:rPr>
        <w:t>2021.</w:t>
      </w:r>
    </w:p>
    <w:p>
      <w:pPr>
        <w:pStyle w:val="BodyText"/>
        <w:spacing w:before="50"/>
        <w:rPr>
          <w:rFonts w:ascii="Arial MT"/>
          <w:sz w:val="16"/>
        </w:rPr>
      </w:pPr>
    </w:p>
    <w:p>
      <w:pPr>
        <w:spacing w:before="1"/>
        <w:ind w:left="1008" w:right="0" w:firstLine="0"/>
        <w:jc w:val="left"/>
        <w:rPr>
          <w:i/>
          <w:sz w:val="22"/>
        </w:rPr>
      </w:pPr>
      <w:r>
        <w:rPr>
          <w:i/>
          <w:sz w:val="22"/>
        </w:rPr>
        <w:t>Services</w:t>
      </w:r>
      <w:r>
        <w:rPr>
          <w:i/>
          <w:spacing w:val="56"/>
          <w:sz w:val="22"/>
        </w:rPr>
        <w:t> </w:t>
      </w:r>
      <w:r>
        <w:rPr>
          <w:i/>
          <w:sz w:val="22"/>
        </w:rPr>
        <w:t>and</w:t>
      </w:r>
      <w:r>
        <w:rPr>
          <w:i/>
          <w:spacing w:val="62"/>
          <w:sz w:val="22"/>
        </w:rPr>
        <w:t> </w:t>
      </w:r>
      <w:r>
        <w:rPr>
          <w:i/>
          <w:spacing w:val="-2"/>
          <w:sz w:val="22"/>
        </w:rPr>
        <w:t>Incentives</w:t>
      </w:r>
    </w:p>
    <w:p>
      <w:pPr>
        <w:pStyle w:val="BodyText"/>
        <w:spacing w:line="288" w:lineRule="auto" w:before="50"/>
        <w:ind w:left="1008" w:right="1001"/>
      </w:pPr>
      <w:r>
        <w:rPr/>
        <w:t>For a variety of reasons, it</w:t>
      </w:r>
      <w:r>
        <w:rPr>
          <w:spacing w:val="-2"/>
        </w:rPr>
        <w:t> </w:t>
      </w:r>
      <w:r>
        <w:rPr/>
        <w:t>is often in a property owner’s best interest to provide certain services and incentives to residents.</w:t>
      </w:r>
      <w:r>
        <w:rPr>
          <w:spacing w:val="40"/>
        </w:rPr>
        <w:t> </w:t>
      </w:r>
      <w:r>
        <w:rPr/>
        <w:t>This often promotes resident attraction and retention. For</w:t>
      </w:r>
      <w:r>
        <w:rPr>
          <w:spacing w:val="-14"/>
        </w:rPr>
        <w:t> </w:t>
      </w:r>
      <w:r>
        <w:rPr/>
        <w:t>properties</w:t>
      </w:r>
      <w:r>
        <w:rPr>
          <w:spacing w:val="-14"/>
        </w:rPr>
        <w:t> </w:t>
      </w:r>
      <w:r>
        <w:rPr/>
        <w:t>that</w:t>
      </w:r>
      <w:r>
        <w:rPr>
          <w:spacing w:val="-14"/>
        </w:rPr>
        <w:t> </w:t>
      </w:r>
      <w:r>
        <w:rPr/>
        <w:t>offer</w:t>
      </w:r>
      <w:r>
        <w:rPr>
          <w:spacing w:val="-13"/>
        </w:rPr>
        <w:t> </w:t>
      </w:r>
      <w:r>
        <w:rPr/>
        <w:t>bed</w:t>
      </w:r>
      <w:r>
        <w:rPr>
          <w:spacing w:val="-14"/>
        </w:rPr>
        <w:t> </w:t>
      </w:r>
      <w:r>
        <w:rPr/>
        <w:t>leases,</w:t>
      </w:r>
      <w:r>
        <w:rPr>
          <w:spacing w:val="-14"/>
        </w:rPr>
        <w:t> </w:t>
      </w:r>
      <w:r>
        <w:rPr/>
        <w:t>a</w:t>
      </w:r>
      <w:r>
        <w:rPr>
          <w:spacing w:val="-14"/>
        </w:rPr>
        <w:t> </w:t>
      </w:r>
      <w:r>
        <w:rPr/>
        <w:t>roommate</w:t>
      </w:r>
      <w:r>
        <w:rPr>
          <w:spacing w:val="-13"/>
        </w:rPr>
        <w:t> </w:t>
      </w:r>
      <w:r>
        <w:rPr/>
        <w:t>matching</w:t>
      </w:r>
      <w:r>
        <w:rPr>
          <w:spacing w:val="-14"/>
        </w:rPr>
        <w:t> </w:t>
      </w:r>
      <w:r>
        <w:rPr/>
        <w:t>program</w:t>
      </w:r>
      <w:r>
        <w:rPr>
          <w:spacing w:val="-14"/>
        </w:rPr>
        <w:t> </w:t>
      </w:r>
      <w:r>
        <w:rPr/>
        <w:t>can</w:t>
      </w:r>
      <w:r>
        <w:rPr>
          <w:spacing w:val="-14"/>
        </w:rPr>
        <w:t> </w:t>
      </w:r>
      <w:r>
        <w:rPr/>
        <w:t>often</w:t>
      </w:r>
      <w:r>
        <w:rPr>
          <w:spacing w:val="-13"/>
        </w:rPr>
        <w:t> </w:t>
      </w:r>
      <w:r>
        <w:rPr/>
        <w:t>be</w:t>
      </w:r>
      <w:r>
        <w:rPr>
          <w:spacing w:val="-14"/>
        </w:rPr>
        <w:t> </w:t>
      </w:r>
      <w:r>
        <w:rPr/>
        <w:t>an</w:t>
      </w:r>
      <w:r>
        <w:rPr>
          <w:spacing w:val="-14"/>
        </w:rPr>
        <w:t> </w:t>
      </w:r>
      <w:r>
        <w:rPr/>
        <w:t>important tool.</w:t>
      </w:r>
      <w:r>
        <w:rPr>
          <w:spacing w:val="40"/>
        </w:rPr>
        <w:t> </w:t>
      </w:r>
      <w:r>
        <w:rPr/>
        <w:t>Under</w:t>
      </w:r>
      <w:r>
        <w:rPr>
          <w:spacing w:val="-5"/>
        </w:rPr>
        <w:t> </w:t>
      </w:r>
      <w:r>
        <w:rPr/>
        <w:t>such</w:t>
      </w:r>
      <w:r>
        <w:rPr>
          <w:spacing w:val="-3"/>
        </w:rPr>
        <w:t> </w:t>
      </w:r>
      <w:r>
        <w:rPr/>
        <w:t>a</w:t>
      </w:r>
      <w:r>
        <w:rPr>
          <w:spacing w:val="-4"/>
        </w:rPr>
        <w:t> </w:t>
      </w:r>
      <w:r>
        <w:rPr/>
        <w:t>program,</w:t>
      </w:r>
      <w:r>
        <w:rPr>
          <w:spacing w:val="-3"/>
        </w:rPr>
        <w:t> </w:t>
      </w:r>
      <w:r>
        <w:rPr/>
        <w:t>prospective</w:t>
      </w:r>
      <w:r>
        <w:rPr>
          <w:spacing w:val="-3"/>
        </w:rPr>
        <w:t> </w:t>
      </w:r>
      <w:r>
        <w:rPr/>
        <w:t>residents</w:t>
      </w:r>
      <w:r>
        <w:rPr>
          <w:spacing w:val="-3"/>
        </w:rPr>
        <w:t> </w:t>
      </w:r>
      <w:r>
        <w:rPr/>
        <w:t>fill</w:t>
      </w:r>
      <w:r>
        <w:rPr>
          <w:spacing w:val="-3"/>
        </w:rPr>
        <w:t> </w:t>
      </w:r>
      <w:r>
        <w:rPr/>
        <w:t>out</w:t>
      </w:r>
      <w:r>
        <w:rPr>
          <w:spacing w:val="-3"/>
        </w:rPr>
        <w:t> </w:t>
      </w:r>
      <w:r>
        <w:rPr/>
        <w:t>applications,</w:t>
      </w:r>
      <w:r>
        <w:rPr>
          <w:spacing w:val="-3"/>
        </w:rPr>
        <w:t> </w:t>
      </w:r>
      <w:r>
        <w:rPr/>
        <w:t>stating</w:t>
      </w:r>
      <w:r>
        <w:rPr>
          <w:spacing w:val="-5"/>
        </w:rPr>
        <w:t> </w:t>
      </w:r>
      <w:r>
        <w:rPr/>
        <w:t>their</w:t>
      </w:r>
      <w:r>
        <w:rPr>
          <w:spacing w:val="-3"/>
        </w:rPr>
        <w:t> </w:t>
      </w:r>
      <w:r>
        <w:rPr/>
        <w:t>interests, and</w:t>
      </w:r>
      <w:r>
        <w:rPr>
          <w:spacing w:val="-7"/>
        </w:rPr>
        <w:t> </w:t>
      </w:r>
      <w:r>
        <w:rPr/>
        <w:t>preferences</w:t>
      </w:r>
      <w:r>
        <w:rPr>
          <w:spacing w:val="-5"/>
        </w:rPr>
        <w:t> </w:t>
      </w:r>
      <w:r>
        <w:rPr/>
        <w:t>for</w:t>
      </w:r>
      <w:r>
        <w:rPr>
          <w:spacing w:val="-7"/>
        </w:rPr>
        <w:t> </w:t>
      </w:r>
      <w:r>
        <w:rPr/>
        <w:t>a</w:t>
      </w:r>
      <w:r>
        <w:rPr>
          <w:spacing w:val="-6"/>
        </w:rPr>
        <w:t> </w:t>
      </w:r>
      <w:r>
        <w:rPr/>
        <w:t>roommate.</w:t>
      </w:r>
      <w:r>
        <w:rPr>
          <w:spacing w:val="40"/>
        </w:rPr>
        <w:t> </w:t>
      </w:r>
      <w:r>
        <w:rPr/>
        <w:t>The</w:t>
      </w:r>
      <w:r>
        <w:rPr>
          <w:spacing w:val="-6"/>
        </w:rPr>
        <w:t> </w:t>
      </w:r>
      <w:r>
        <w:rPr/>
        <w:t>prevalence</w:t>
      </w:r>
      <w:r>
        <w:rPr>
          <w:spacing w:val="-8"/>
        </w:rPr>
        <w:t> </w:t>
      </w:r>
      <w:r>
        <w:rPr/>
        <w:t>of</w:t>
      </w:r>
      <w:r>
        <w:rPr>
          <w:spacing w:val="-6"/>
        </w:rPr>
        <w:t> </w:t>
      </w:r>
      <w:r>
        <w:rPr/>
        <w:t>roommate</w:t>
      </w:r>
      <w:r>
        <w:rPr>
          <w:spacing w:val="-8"/>
        </w:rPr>
        <w:t> </w:t>
      </w:r>
      <w:r>
        <w:rPr/>
        <w:t>matching</w:t>
      </w:r>
      <w:r>
        <w:rPr>
          <w:spacing w:val="-6"/>
        </w:rPr>
        <w:t> </w:t>
      </w:r>
      <w:r>
        <w:rPr/>
        <w:t>programs</w:t>
      </w:r>
      <w:r>
        <w:rPr>
          <w:spacing w:val="-3"/>
        </w:rPr>
        <w:t> </w:t>
      </w:r>
      <w:r>
        <w:rPr/>
        <w:t>is</w:t>
      </w:r>
      <w:r>
        <w:rPr>
          <w:spacing w:val="-5"/>
        </w:rPr>
        <w:t> </w:t>
      </w:r>
      <w:r>
        <w:rPr/>
        <w:t>slightly higher</w:t>
      </w:r>
      <w:r>
        <w:rPr>
          <w:spacing w:val="-1"/>
        </w:rPr>
        <w:t> </w:t>
      </w:r>
      <w:r>
        <w:rPr/>
        <w:t>relative</w:t>
      </w:r>
      <w:r>
        <w:rPr>
          <w:spacing w:val="-1"/>
        </w:rPr>
        <w:t> </w:t>
      </w:r>
      <w:r>
        <w:rPr/>
        <w:t>to</w:t>
      </w:r>
      <w:r>
        <w:rPr>
          <w:spacing w:val="-1"/>
        </w:rPr>
        <w:t> </w:t>
      </w:r>
      <w:r>
        <w:rPr/>
        <w:t>the</w:t>
      </w:r>
      <w:r>
        <w:rPr>
          <w:spacing w:val="-3"/>
        </w:rPr>
        <w:t> </w:t>
      </w:r>
      <w:r>
        <w:rPr/>
        <w:t>2020</w:t>
      </w:r>
      <w:r>
        <w:rPr>
          <w:spacing w:val="-1"/>
        </w:rPr>
        <w:t> </w:t>
      </w:r>
      <w:r>
        <w:rPr/>
        <w:t>survey</w:t>
      </w:r>
      <w:r>
        <w:rPr>
          <w:spacing w:val="-1"/>
        </w:rPr>
        <w:t> </w:t>
      </w:r>
      <w:r>
        <w:rPr/>
        <w:t>period, with</w:t>
      </w:r>
      <w:r>
        <w:rPr>
          <w:spacing w:val="-1"/>
        </w:rPr>
        <w:t> </w:t>
      </w:r>
      <w:r>
        <w:rPr/>
        <w:t>a</w:t>
      </w:r>
      <w:r>
        <w:rPr>
          <w:spacing w:val="-1"/>
        </w:rPr>
        <w:t> </w:t>
      </w:r>
      <w:r>
        <w:rPr/>
        <w:t>total</w:t>
      </w:r>
      <w:r>
        <w:rPr>
          <w:spacing w:val="-1"/>
        </w:rPr>
        <w:t> </w:t>
      </w:r>
      <w:r>
        <w:rPr/>
        <w:t>of</w:t>
      </w:r>
      <w:r>
        <w:rPr>
          <w:spacing w:val="-2"/>
        </w:rPr>
        <w:t> </w:t>
      </w:r>
      <w:r>
        <w:rPr/>
        <w:t>19</w:t>
      </w:r>
      <w:r>
        <w:rPr>
          <w:spacing w:val="-1"/>
        </w:rPr>
        <w:t> </w:t>
      </w:r>
      <w:r>
        <w:rPr/>
        <w:t>properties</w:t>
      </w:r>
      <w:r>
        <w:rPr>
          <w:spacing w:val="-1"/>
        </w:rPr>
        <w:t> </w:t>
      </w:r>
      <w:r>
        <w:rPr/>
        <w:t>offering</w:t>
      </w:r>
      <w:r>
        <w:rPr>
          <w:spacing w:val="-1"/>
        </w:rPr>
        <w:t> </w:t>
      </w:r>
      <w:r>
        <w:rPr/>
        <w:t>such</w:t>
      </w:r>
      <w:r>
        <w:rPr>
          <w:spacing w:val="-1"/>
        </w:rPr>
        <w:t> </w:t>
      </w:r>
      <w:r>
        <w:rPr/>
        <w:t>services, including</w:t>
      </w:r>
      <w:r>
        <w:rPr>
          <w:spacing w:val="-7"/>
        </w:rPr>
        <w:t> </w:t>
      </w:r>
      <w:r>
        <w:rPr/>
        <w:t>16</w:t>
      </w:r>
      <w:r>
        <w:rPr>
          <w:spacing w:val="-9"/>
        </w:rPr>
        <w:t> </w:t>
      </w:r>
      <w:r>
        <w:rPr/>
        <w:t>of</w:t>
      </w:r>
      <w:r>
        <w:rPr>
          <w:spacing w:val="-6"/>
        </w:rPr>
        <w:t> </w:t>
      </w:r>
      <w:r>
        <w:rPr/>
        <w:t>the</w:t>
      </w:r>
      <w:r>
        <w:rPr>
          <w:spacing w:val="-7"/>
        </w:rPr>
        <w:t> </w:t>
      </w:r>
      <w:r>
        <w:rPr/>
        <w:t>17</w:t>
      </w:r>
      <w:r>
        <w:rPr>
          <w:spacing w:val="-8"/>
        </w:rPr>
        <w:t> </w:t>
      </w:r>
      <w:r>
        <w:rPr/>
        <w:t>properties</w:t>
      </w:r>
      <w:r>
        <w:rPr>
          <w:spacing w:val="-7"/>
        </w:rPr>
        <w:t> </w:t>
      </w:r>
      <w:r>
        <w:rPr/>
        <w:t>that</w:t>
      </w:r>
      <w:r>
        <w:rPr>
          <w:spacing w:val="-8"/>
        </w:rPr>
        <w:t> </w:t>
      </w:r>
      <w:r>
        <w:rPr/>
        <w:t>manage</w:t>
      </w:r>
      <w:r>
        <w:rPr>
          <w:spacing w:val="-10"/>
        </w:rPr>
        <w:t> </w:t>
      </w:r>
      <w:r>
        <w:rPr/>
        <w:t>apartments</w:t>
      </w:r>
      <w:r>
        <w:rPr>
          <w:spacing w:val="-7"/>
        </w:rPr>
        <w:t> </w:t>
      </w:r>
      <w:r>
        <w:rPr/>
        <w:t>that</w:t>
      </w:r>
      <w:r>
        <w:rPr>
          <w:spacing w:val="-11"/>
        </w:rPr>
        <w:t> </w:t>
      </w:r>
      <w:r>
        <w:rPr/>
        <w:t>are</w:t>
      </w:r>
      <w:r>
        <w:rPr>
          <w:spacing w:val="-7"/>
        </w:rPr>
        <w:t> </w:t>
      </w:r>
      <w:r>
        <w:rPr/>
        <w:t>leased</w:t>
      </w:r>
      <w:r>
        <w:rPr>
          <w:spacing w:val="-7"/>
        </w:rPr>
        <w:t> </w:t>
      </w:r>
      <w:r>
        <w:rPr/>
        <w:t>on</w:t>
      </w:r>
      <w:r>
        <w:rPr>
          <w:spacing w:val="-9"/>
        </w:rPr>
        <w:t> </w:t>
      </w:r>
      <w:r>
        <w:rPr/>
        <w:t>a</w:t>
      </w:r>
      <w:r>
        <w:rPr>
          <w:spacing w:val="-7"/>
        </w:rPr>
        <w:t> </w:t>
      </w:r>
      <w:r>
        <w:rPr/>
        <w:t>per</w:t>
      </w:r>
      <w:r>
        <w:rPr>
          <w:spacing w:val="-8"/>
        </w:rPr>
        <w:t> </w:t>
      </w:r>
      <w:r>
        <w:rPr/>
        <w:t>bed</w:t>
      </w:r>
      <w:r>
        <w:rPr>
          <w:spacing w:val="-9"/>
        </w:rPr>
        <w:t> </w:t>
      </w:r>
      <w:r>
        <w:rPr/>
        <w:t>basis. A</w:t>
      </w:r>
      <w:r>
        <w:rPr>
          <w:spacing w:val="-4"/>
        </w:rPr>
        <w:t> </w:t>
      </w:r>
      <w:r>
        <w:rPr/>
        <w:t>total</w:t>
      </w:r>
      <w:r>
        <w:rPr>
          <w:spacing w:val="-3"/>
        </w:rPr>
        <w:t> </w:t>
      </w:r>
      <w:r>
        <w:rPr/>
        <w:t>of</w:t>
      </w:r>
      <w:r>
        <w:rPr>
          <w:spacing w:val="-4"/>
        </w:rPr>
        <w:t> </w:t>
      </w:r>
      <w:r>
        <w:rPr/>
        <w:t>40</w:t>
      </w:r>
      <w:r>
        <w:rPr>
          <w:spacing w:val="-6"/>
        </w:rPr>
        <w:t> </w:t>
      </w:r>
      <w:r>
        <w:rPr/>
        <w:t>apartment</w:t>
      </w:r>
      <w:r>
        <w:rPr>
          <w:spacing w:val="-3"/>
        </w:rPr>
        <w:t> </w:t>
      </w:r>
      <w:r>
        <w:rPr/>
        <w:t>complexes</w:t>
      </w:r>
      <w:r>
        <w:rPr>
          <w:spacing w:val="-3"/>
        </w:rPr>
        <w:t> </w:t>
      </w:r>
      <w:r>
        <w:rPr/>
        <w:t>reported</w:t>
      </w:r>
      <w:r>
        <w:rPr>
          <w:spacing w:val="-3"/>
        </w:rPr>
        <w:t> </w:t>
      </w:r>
      <w:r>
        <w:rPr/>
        <w:t>offering</w:t>
      </w:r>
      <w:r>
        <w:rPr>
          <w:spacing w:val="-6"/>
        </w:rPr>
        <w:t> </w:t>
      </w:r>
      <w:r>
        <w:rPr/>
        <w:t>other</w:t>
      </w:r>
      <w:r>
        <w:rPr>
          <w:spacing w:val="-3"/>
        </w:rPr>
        <w:t> </w:t>
      </w:r>
      <w:r>
        <w:rPr/>
        <w:t>incentives</w:t>
      </w:r>
      <w:r>
        <w:rPr>
          <w:spacing w:val="-5"/>
        </w:rPr>
        <w:t> </w:t>
      </w:r>
      <w:r>
        <w:rPr/>
        <w:t>and</w:t>
      </w:r>
      <w:r>
        <w:rPr>
          <w:spacing w:val="-3"/>
        </w:rPr>
        <w:t> </w:t>
      </w:r>
      <w:r>
        <w:rPr/>
        <w:t>move-in</w:t>
      </w:r>
      <w:r>
        <w:rPr>
          <w:spacing w:val="-3"/>
        </w:rPr>
        <w:t> </w:t>
      </w:r>
      <w:r>
        <w:rPr/>
        <w:t>specials</w:t>
      </w:r>
      <w:r>
        <w:rPr>
          <w:spacing w:val="-3"/>
        </w:rPr>
        <w:t> </w:t>
      </w:r>
      <w:r>
        <w:rPr/>
        <w:t>in the</w:t>
      </w:r>
      <w:r>
        <w:rPr>
          <w:spacing w:val="-8"/>
        </w:rPr>
        <w:t> </w:t>
      </w:r>
      <w:r>
        <w:rPr/>
        <w:t>2021</w:t>
      </w:r>
      <w:r>
        <w:rPr>
          <w:spacing w:val="-8"/>
        </w:rPr>
        <w:t> </w:t>
      </w:r>
      <w:r>
        <w:rPr/>
        <w:t>leasing</w:t>
      </w:r>
      <w:r>
        <w:rPr>
          <w:spacing w:val="-11"/>
        </w:rPr>
        <w:t> </w:t>
      </w:r>
      <w:r>
        <w:rPr/>
        <w:t>season</w:t>
      </w:r>
      <w:r>
        <w:rPr>
          <w:spacing w:val="-8"/>
        </w:rPr>
        <w:t> </w:t>
      </w:r>
      <w:r>
        <w:rPr/>
        <w:t>to</w:t>
      </w:r>
      <w:r>
        <w:rPr>
          <w:spacing w:val="-8"/>
        </w:rPr>
        <w:t> </w:t>
      </w:r>
      <w:r>
        <w:rPr/>
        <w:t>help</w:t>
      </w:r>
      <w:r>
        <w:rPr>
          <w:spacing w:val="-11"/>
        </w:rPr>
        <w:t> </w:t>
      </w:r>
      <w:r>
        <w:rPr/>
        <w:t>fill</w:t>
      </w:r>
      <w:r>
        <w:rPr>
          <w:spacing w:val="-9"/>
        </w:rPr>
        <w:t> </w:t>
      </w:r>
      <w:r>
        <w:rPr/>
        <w:t>vacancies</w:t>
      </w:r>
      <w:r>
        <w:rPr>
          <w:spacing w:val="-10"/>
        </w:rPr>
        <w:t> </w:t>
      </w:r>
      <w:r>
        <w:rPr/>
        <w:t>and</w:t>
      </w:r>
      <w:r>
        <w:rPr>
          <w:spacing w:val="-8"/>
        </w:rPr>
        <w:t> </w:t>
      </w:r>
      <w:r>
        <w:rPr/>
        <w:t>attract</w:t>
      </w:r>
      <w:r>
        <w:rPr>
          <w:spacing w:val="-8"/>
        </w:rPr>
        <w:t> </w:t>
      </w:r>
      <w:r>
        <w:rPr/>
        <w:t>new</w:t>
      </w:r>
      <w:r>
        <w:rPr>
          <w:spacing w:val="-8"/>
        </w:rPr>
        <w:t> </w:t>
      </w:r>
      <w:r>
        <w:rPr/>
        <w:t>residents,</w:t>
      </w:r>
      <w:r>
        <w:rPr>
          <w:spacing w:val="-8"/>
        </w:rPr>
        <w:t> </w:t>
      </w:r>
      <w:r>
        <w:rPr/>
        <w:t>which</w:t>
      </w:r>
      <w:r>
        <w:rPr>
          <w:spacing w:val="-8"/>
        </w:rPr>
        <w:t> </w:t>
      </w:r>
      <w:r>
        <w:rPr/>
        <w:t>is</w:t>
      </w:r>
      <w:r>
        <w:rPr>
          <w:spacing w:val="-7"/>
        </w:rPr>
        <w:t> </w:t>
      </w:r>
      <w:r>
        <w:rPr/>
        <w:t>comparable to the 2020 leasing</w:t>
      </w:r>
      <w:r>
        <w:rPr>
          <w:spacing w:val="-1"/>
        </w:rPr>
        <w:t> </w:t>
      </w:r>
      <w:r>
        <w:rPr/>
        <w:t>season, but well above</w:t>
      </w:r>
      <w:r>
        <w:rPr>
          <w:spacing w:val="-1"/>
        </w:rPr>
        <w:t> </w:t>
      </w:r>
      <w:r>
        <w:rPr/>
        <w:t>prior years.</w:t>
      </w:r>
      <w:r>
        <w:rPr>
          <w:spacing w:val="40"/>
        </w:rPr>
        <w:t> </w:t>
      </w:r>
      <w:r>
        <w:rPr/>
        <w:t>Common incentives and specials included free or discounted rent, waived application fees, and gift cards, among other giveaways.</w:t>
      </w:r>
      <w:r>
        <w:rPr>
          <w:spacing w:val="40"/>
        </w:rPr>
        <w:t> </w:t>
      </w:r>
      <w:r>
        <w:rPr/>
        <w:t>The</w:t>
      </w:r>
      <w:r>
        <w:rPr>
          <w:spacing w:val="-2"/>
        </w:rPr>
        <w:t> </w:t>
      </w:r>
      <w:r>
        <w:rPr/>
        <w:t>value</w:t>
      </w:r>
      <w:r>
        <w:rPr>
          <w:spacing w:val="-2"/>
        </w:rPr>
        <w:t> </w:t>
      </w:r>
      <w:r>
        <w:rPr/>
        <w:t>of</w:t>
      </w:r>
      <w:r>
        <w:rPr>
          <w:spacing w:val="-2"/>
        </w:rPr>
        <w:t> </w:t>
      </w:r>
      <w:r>
        <w:rPr/>
        <w:t>these</w:t>
      </w:r>
      <w:r>
        <w:rPr>
          <w:spacing w:val="-2"/>
        </w:rPr>
        <w:t> </w:t>
      </w:r>
      <w:r>
        <w:rPr/>
        <w:t>incentives</w:t>
      </w:r>
      <w:r>
        <w:rPr>
          <w:spacing w:val="-2"/>
        </w:rPr>
        <w:t> </w:t>
      </w:r>
      <w:r>
        <w:rPr/>
        <w:t>ranged</w:t>
      </w:r>
      <w:r>
        <w:rPr>
          <w:spacing w:val="-2"/>
        </w:rPr>
        <w:t> </w:t>
      </w:r>
      <w:r>
        <w:rPr/>
        <w:t>from</w:t>
      </w:r>
      <w:r>
        <w:rPr>
          <w:spacing w:val="-2"/>
        </w:rPr>
        <w:t> </w:t>
      </w:r>
      <w:r>
        <w:rPr/>
        <w:t>a</w:t>
      </w:r>
      <w:r>
        <w:rPr>
          <w:spacing w:val="-3"/>
        </w:rPr>
        <w:t> </w:t>
      </w:r>
      <w:r>
        <w:rPr/>
        <w:t>$100</w:t>
      </w:r>
      <w:r>
        <w:rPr>
          <w:spacing w:val="-2"/>
        </w:rPr>
        <w:t> </w:t>
      </w:r>
      <w:r>
        <w:rPr/>
        <w:t>gift</w:t>
      </w:r>
      <w:r>
        <w:rPr>
          <w:spacing w:val="-3"/>
        </w:rPr>
        <w:t> </w:t>
      </w:r>
      <w:r>
        <w:rPr/>
        <w:t>card</w:t>
      </w:r>
      <w:r>
        <w:rPr>
          <w:spacing w:val="-2"/>
        </w:rPr>
        <w:t> </w:t>
      </w:r>
      <w:r>
        <w:rPr/>
        <w:t>to</w:t>
      </w:r>
      <w:r>
        <w:rPr>
          <w:spacing w:val="-4"/>
        </w:rPr>
        <w:t> </w:t>
      </w:r>
      <w:r>
        <w:rPr/>
        <w:t>$3,000</w:t>
      </w:r>
      <w:r>
        <w:rPr>
          <w:spacing w:val="-2"/>
        </w:rPr>
        <w:t> </w:t>
      </w:r>
      <w:r>
        <w:rPr/>
        <w:t>in</w:t>
      </w:r>
      <w:r>
        <w:rPr>
          <w:spacing w:val="-4"/>
        </w:rPr>
        <w:t> </w:t>
      </w:r>
      <w:r>
        <w:rPr/>
        <w:t>free</w:t>
      </w:r>
      <w:r>
        <w:rPr>
          <w:spacing w:val="-2"/>
        </w:rPr>
        <w:t> </w:t>
      </w:r>
      <w:r>
        <w:rPr/>
        <w:t>rent for one month, with the average value equaling roughly $700 in incentives.</w:t>
      </w:r>
    </w:p>
    <w:p>
      <w:pPr>
        <w:pStyle w:val="BodyText"/>
        <w:spacing w:before="60"/>
      </w:pPr>
    </w:p>
    <w:p>
      <w:pPr>
        <w:spacing w:before="0"/>
        <w:ind w:left="1008" w:right="0" w:firstLine="0"/>
        <w:jc w:val="left"/>
        <w:rPr>
          <w:i/>
          <w:sz w:val="22"/>
        </w:rPr>
      </w:pPr>
      <w:r>
        <w:rPr>
          <w:i/>
          <w:sz w:val="22"/>
        </w:rPr>
        <w:t>Lease</w:t>
      </w:r>
      <w:r>
        <w:rPr>
          <w:i/>
          <w:spacing w:val="50"/>
          <w:sz w:val="22"/>
        </w:rPr>
        <w:t> </w:t>
      </w:r>
      <w:r>
        <w:rPr>
          <w:i/>
          <w:sz w:val="22"/>
        </w:rPr>
        <w:t>Terms</w:t>
      </w:r>
      <w:r>
        <w:rPr>
          <w:i/>
          <w:spacing w:val="53"/>
          <w:sz w:val="22"/>
        </w:rPr>
        <w:t> </w:t>
      </w:r>
      <w:r>
        <w:rPr>
          <w:i/>
          <w:sz w:val="22"/>
        </w:rPr>
        <w:t>and</w:t>
      </w:r>
      <w:r>
        <w:rPr>
          <w:i/>
          <w:spacing w:val="47"/>
          <w:sz w:val="22"/>
        </w:rPr>
        <w:t> </w:t>
      </w:r>
      <w:r>
        <w:rPr>
          <w:i/>
          <w:spacing w:val="-2"/>
          <w:sz w:val="22"/>
        </w:rPr>
        <w:t>Turnover</w:t>
      </w:r>
    </w:p>
    <w:p>
      <w:pPr>
        <w:pStyle w:val="BodyText"/>
        <w:spacing w:line="288" w:lineRule="auto" w:before="51"/>
        <w:ind w:left="1008" w:right="1029"/>
      </w:pPr>
      <w:r>
        <w:rPr/>
        <w:t>All</w:t>
      </w:r>
      <w:r>
        <w:rPr>
          <w:spacing w:val="-5"/>
        </w:rPr>
        <w:t> </w:t>
      </w:r>
      <w:r>
        <w:rPr/>
        <w:t>but</w:t>
      </w:r>
      <w:r>
        <w:rPr>
          <w:spacing w:val="-4"/>
        </w:rPr>
        <w:t> </w:t>
      </w:r>
      <w:r>
        <w:rPr/>
        <w:t>two</w:t>
      </w:r>
      <w:r>
        <w:rPr>
          <w:spacing w:val="-4"/>
        </w:rPr>
        <w:t> </w:t>
      </w:r>
      <w:r>
        <w:rPr/>
        <w:t>complexes</w:t>
      </w:r>
      <w:r>
        <w:rPr>
          <w:spacing w:val="-4"/>
        </w:rPr>
        <w:t> </w:t>
      </w:r>
      <w:r>
        <w:rPr/>
        <w:t>reported</w:t>
      </w:r>
      <w:r>
        <w:rPr>
          <w:spacing w:val="-4"/>
        </w:rPr>
        <w:t> </w:t>
      </w:r>
      <w:r>
        <w:rPr/>
        <w:t>offering</w:t>
      </w:r>
      <w:r>
        <w:rPr>
          <w:spacing w:val="-4"/>
        </w:rPr>
        <w:t> </w:t>
      </w:r>
      <w:r>
        <w:rPr/>
        <w:t>12-month</w:t>
      </w:r>
      <w:r>
        <w:rPr>
          <w:spacing w:val="-4"/>
        </w:rPr>
        <w:t> </w:t>
      </w:r>
      <w:r>
        <w:rPr/>
        <w:t>lease</w:t>
      </w:r>
      <w:r>
        <w:rPr>
          <w:spacing w:val="-4"/>
        </w:rPr>
        <w:t> </w:t>
      </w:r>
      <w:r>
        <w:rPr/>
        <w:t>terms,</w:t>
      </w:r>
      <w:r>
        <w:rPr>
          <w:spacing w:val="-4"/>
        </w:rPr>
        <w:t> </w:t>
      </w:r>
      <w:r>
        <w:rPr/>
        <w:t>with</w:t>
      </w:r>
      <w:r>
        <w:rPr>
          <w:spacing w:val="-4"/>
        </w:rPr>
        <w:t> </w:t>
      </w:r>
      <w:r>
        <w:rPr/>
        <w:t>the</w:t>
      </w:r>
      <w:r>
        <w:rPr>
          <w:spacing w:val="-4"/>
        </w:rPr>
        <w:t> </w:t>
      </w:r>
      <w:r>
        <w:rPr/>
        <w:t>two</w:t>
      </w:r>
      <w:r>
        <w:rPr>
          <w:spacing w:val="-4"/>
        </w:rPr>
        <w:t> </w:t>
      </w:r>
      <w:r>
        <w:rPr/>
        <w:t>other</w:t>
      </w:r>
      <w:r>
        <w:rPr>
          <w:spacing w:val="-5"/>
        </w:rPr>
        <w:t> </w:t>
      </w:r>
      <w:r>
        <w:rPr/>
        <w:t>complexes providing shorter</w:t>
      </w:r>
      <w:r>
        <w:rPr>
          <w:spacing w:val="-1"/>
        </w:rPr>
        <w:t> </w:t>
      </w:r>
      <w:r>
        <w:rPr/>
        <w:t>lease terms or</w:t>
      </w:r>
      <w:r>
        <w:rPr>
          <w:spacing w:val="-3"/>
        </w:rPr>
        <w:t> </w:t>
      </w:r>
      <w:r>
        <w:rPr/>
        <w:t>strictly</w:t>
      </w:r>
      <w:r>
        <w:rPr>
          <w:spacing w:val="-1"/>
        </w:rPr>
        <w:t> </w:t>
      </w:r>
      <w:r>
        <w:rPr/>
        <w:t>month-to-month leases.</w:t>
      </w:r>
      <w:r>
        <w:rPr>
          <w:spacing w:val="40"/>
        </w:rPr>
        <w:t> </w:t>
      </w:r>
      <w:r>
        <w:rPr/>
        <w:t>In</w:t>
      </w:r>
      <w:r>
        <w:rPr>
          <w:spacing w:val="-2"/>
        </w:rPr>
        <w:t> </w:t>
      </w:r>
      <w:r>
        <w:rPr/>
        <w:t>addition to</w:t>
      </w:r>
      <w:r>
        <w:rPr>
          <w:spacing w:val="-3"/>
        </w:rPr>
        <w:t> </w:t>
      </w:r>
      <w:r>
        <w:rPr/>
        <w:t>12-month leases,</w:t>
      </w:r>
      <w:r>
        <w:rPr>
          <w:spacing w:val="-3"/>
        </w:rPr>
        <w:t> </w:t>
      </w:r>
      <w:r>
        <w:rPr/>
        <w:t>a total</w:t>
      </w:r>
      <w:r>
        <w:rPr>
          <w:spacing w:val="-3"/>
        </w:rPr>
        <w:t> </w:t>
      </w:r>
      <w:r>
        <w:rPr/>
        <w:t>of 12 complexes</w:t>
      </w:r>
      <w:r>
        <w:rPr>
          <w:spacing w:val="-2"/>
        </w:rPr>
        <w:t> </w:t>
      </w:r>
      <w:r>
        <w:rPr/>
        <w:t>offered other</w:t>
      </w:r>
      <w:r>
        <w:rPr>
          <w:spacing w:val="-1"/>
        </w:rPr>
        <w:t> </w:t>
      </w:r>
      <w:r>
        <w:rPr/>
        <w:t>lease terms, including five</w:t>
      </w:r>
      <w:r>
        <w:rPr>
          <w:spacing w:val="-2"/>
        </w:rPr>
        <w:t> </w:t>
      </w:r>
      <w:r>
        <w:rPr/>
        <w:t>complexes that offered</w:t>
      </w:r>
      <w:r>
        <w:rPr>
          <w:spacing w:val="-14"/>
        </w:rPr>
        <w:t> </w:t>
      </w:r>
      <w:r>
        <w:rPr/>
        <w:t>ten-</w:t>
      </w:r>
      <w:r>
        <w:rPr>
          <w:spacing w:val="-14"/>
        </w:rPr>
        <w:t> </w:t>
      </w:r>
      <w:r>
        <w:rPr/>
        <w:t>or</w:t>
      </w:r>
      <w:r>
        <w:rPr>
          <w:spacing w:val="-14"/>
        </w:rPr>
        <w:t> </w:t>
      </w:r>
      <w:r>
        <w:rPr/>
        <w:t>11-month</w:t>
      </w:r>
      <w:r>
        <w:rPr>
          <w:spacing w:val="-13"/>
        </w:rPr>
        <w:t> </w:t>
      </w:r>
      <w:r>
        <w:rPr/>
        <w:t>leases.</w:t>
      </w:r>
      <w:r>
        <w:rPr>
          <w:spacing w:val="25"/>
        </w:rPr>
        <w:t> </w:t>
      </w:r>
      <w:r>
        <w:rPr/>
        <w:t>Three</w:t>
      </w:r>
      <w:r>
        <w:rPr>
          <w:spacing w:val="-14"/>
        </w:rPr>
        <w:t> </w:t>
      </w:r>
      <w:r>
        <w:rPr/>
        <w:t>complexes</w:t>
      </w:r>
      <w:r>
        <w:rPr>
          <w:spacing w:val="-14"/>
        </w:rPr>
        <w:t> </w:t>
      </w:r>
      <w:r>
        <w:rPr/>
        <w:t>offered</w:t>
      </w:r>
      <w:r>
        <w:rPr>
          <w:spacing w:val="-13"/>
        </w:rPr>
        <w:t> </w:t>
      </w:r>
      <w:r>
        <w:rPr/>
        <w:t>month-to-month</w:t>
      </w:r>
      <w:r>
        <w:rPr>
          <w:spacing w:val="-14"/>
        </w:rPr>
        <w:t> </w:t>
      </w:r>
      <w:r>
        <w:rPr/>
        <w:t>leases,</w:t>
      </w:r>
      <w:r>
        <w:rPr>
          <w:spacing w:val="-14"/>
        </w:rPr>
        <w:t> </w:t>
      </w:r>
      <w:r>
        <w:rPr/>
        <w:t>two</w:t>
      </w:r>
      <w:r>
        <w:rPr>
          <w:spacing w:val="-13"/>
        </w:rPr>
        <w:t> </w:t>
      </w:r>
      <w:r>
        <w:rPr/>
        <w:t>offered six-month leases,</w:t>
      </w:r>
      <w:r>
        <w:rPr>
          <w:spacing w:val="-1"/>
        </w:rPr>
        <w:t> </w:t>
      </w:r>
      <w:r>
        <w:rPr/>
        <w:t>and one offered</w:t>
      </w:r>
      <w:r>
        <w:rPr>
          <w:spacing w:val="-1"/>
        </w:rPr>
        <w:t> </w:t>
      </w:r>
      <w:r>
        <w:rPr/>
        <w:t>quarterly leases.</w:t>
      </w:r>
      <w:r>
        <w:rPr>
          <w:spacing w:val="40"/>
        </w:rPr>
        <w:t> </w:t>
      </w:r>
      <w:r>
        <w:rPr/>
        <w:t>Although the 12-month leases still represent the predominant lease structure, the number of alternative leasing structures reported</w:t>
      </w:r>
      <w:r>
        <w:rPr>
          <w:spacing w:val="-3"/>
        </w:rPr>
        <w:t> </w:t>
      </w:r>
      <w:r>
        <w:rPr/>
        <w:t>in</w:t>
      </w:r>
      <w:r>
        <w:rPr>
          <w:spacing w:val="-4"/>
        </w:rPr>
        <w:t> </w:t>
      </w:r>
      <w:r>
        <w:rPr/>
        <w:t>the</w:t>
      </w:r>
      <w:r>
        <w:rPr>
          <w:spacing w:val="-4"/>
        </w:rPr>
        <w:t> </w:t>
      </w:r>
      <w:r>
        <w:rPr/>
        <w:t>2021</w:t>
      </w:r>
      <w:r>
        <w:rPr>
          <w:spacing w:val="-6"/>
        </w:rPr>
        <w:t> </w:t>
      </w:r>
      <w:r>
        <w:rPr/>
        <w:t>survey</w:t>
      </w:r>
      <w:r>
        <w:rPr>
          <w:spacing w:val="-4"/>
        </w:rPr>
        <w:t> </w:t>
      </w:r>
      <w:r>
        <w:rPr/>
        <w:t>is</w:t>
      </w:r>
      <w:r>
        <w:rPr>
          <w:spacing w:val="-4"/>
        </w:rPr>
        <w:t> </w:t>
      </w:r>
      <w:r>
        <w:rPr/>
        <w:t>significantly</w:t>
      </w:r>
      <w:r>
        <w:rPr>
          <w:spacing w:val="-4"/>
        </w:rPr>
        <w:t> </w:t>
      </w:r>
      <w:r>
        <w:rPr/>
        <w:t>higher</w:t>
      </w:r>
      <w:r>
        <w:rPr>
          <w:spacing w:val="-5"/>
        </w:rPr>
        <w:t> </w:t>
      </w:r>
      <w:r>
        <w:rPr/>
        <w:t>than</w:t>
      </w:r>
      <w:r>
        <w:rPr>
          <w:spacing w:val="-4"/>
        </w:rPr>
        <w:t> </w:t>
      </w:r>
      <w:r>
        <w:rPr/>
        <w:t>any</w:t>
      </w:r>
      <w:r>
        <w:rPr>
          <w:spacing w:val="-4"/>
        </w:rPr>
        <w:t> </w:t>
      </w:r>
      <w:r>
        <w:rPr/>
        <w:t>prior</w:t>
      </w:r>
      <w:r>
        <w:rPr>
          <w:spacing w:val="-4"/>
        </w:rPr>
        <w:t> </w:t>
      </w:r>
      <w:r>
        <w:rPr/>
        <w:t>survey</w:t>
      </w:r>
      <w:r>
        <w:rPr>
          <w:spacing w:val="-4"/>
        </w:rPr>
        <w:t> </w:t>
      </w:r>
      <w:r>
        <w:rPr/>
        <w:t>period.</w:t>
      </w:r>
      <w:r>
        <w:rPr>
          <w:spacing w:val="40"/>
        </w:rPr>
        <w:t> </w:t>
      </w:r>
      <w:r>
        <w:rPr/>
        <w:t>These</w:t>
      </w:r>
      <w:r>
        <w:rPr>
          <w:spacing w:val="-6"/>
        </w:rPr>
        <w:t> </w:t>
      </w:r>
      <w:r>
        <w:rPr/>
        <w:t>flexible lease terms may have been offered to provide further incentives to residents.</w:t>
      </w:r>
    </w:p>
    <w:p>
      <w:pPr>
        <w:pStyle w:val="BodyText"/>
        <w:spacing w:before="56"/>
      </w:pPr>
    </w:p>
    <w:p>
      <w:pPr>
        <w:pStyle w:val="BodyText"/>
        <w:spacing w:line="288" w:lineRule="auto"/>
        <w:ind w:left="1008" w:right="1001"/>
      </w:pPr>
      <w:r>
        <w:rPr/>
        <w:t>Regarding turnover of bed-leased</w:t>
      </w:r>
      <w:r>
        <w:rPr>
          <w:spacing w:val="-2"/>
        </w:rPr>
        <w:t> </w:t>
      </w:r>
      <w:r>
        <w:rPr/>
        <w:t>units,</w:t>
      </w:r>
      <w:r>
        <w:rPr>
          <w:spacing w:val="-1"/>
        </w:rPr>
        <w:t> </w:t>
      </w:r>
      <w:r>
        <w:rPr/>
        <w:t>all bed-leasing complexes allow</w:t>
      </w:r>
      <w:r>
        <w:rPr>
          <w:spacing w:val="-2"/>
        </w:rPr>
        <w:t> </w:t>
      </w:r>
      <w:r>
        <w:rPr/>
        <w:t>units</w:t>
      </w:r>
      <w:r>
        <w:rPr>
          <w:spacing w:val="-1"/>
        </w:rPr>
        <w:t> </w:t>
      </w:r>
      <w:r>
        <w:rPr/>
        <w:t>to partially turnover, meaning the re-lease of a bed or bedroom</w:t>
      </w:r>
      <w:r>
        <w:rPr>
          <w:spacing w:val="-2"/>
        </w:rPr>
        <w:t> </w:t>
      </w:r>
      <w:r>
        <w:rPr/>
        <w:t>within an already</w:t>
      </w:r>
      <w:r>
        <w:rPr>
          <w:spacing w:val="-3"/>
        </w:rPr>
        <w:t> </w:t>
      </w:r>
      <w:r>
        <w:rPr/>
        <w:t>occupied unit.</w:t>
      </w:r>
      <w:r>
        <w:rPr>
          <w:spacing w:val="40"/>
        </w:rPr>
        <w:t> </w:t>
      </w:r>
      <w:r>
        <w:rPr/>
        <w:t>This turnover</w:t>
      </w:r>
      <w:r>
        <w:rPr>
          <w:spacing w:val="-16"/>
        </w:rPr>
        <w:t> </w:t>
      </w:r>
      <w:r>
        <w:rPr/>
        <w:t>strategy</w:t>
      </w:r>
      <w:r>
        <w:rPr>
          <w:spacing w:val="-14"/>
        </w:rPr>
        <w:t> </w:t>
      </w:r>
      <w:r>
        <w:rPr/>
        <w:t>provides</w:t>
      </w:r>
      <w:r>
        <w:rPr>
          <w:spacing w:val="-14"/>
        </w:rPr>
        <w:t> </w:t>
      </w:r>
      <w:r>
        <w:rPr/>
        <w:t>additional</w:t>
      </w:r>
      <w:r>
        <w:rPr>
          <w:spacing w:val="-13"/>
        </w:rPr>
        <w:t> </w:t>
      </w:r>
      <w:r>
        <w:rPr/>
        <w:t>flexibility</w:t>
      </w:r>
      <w:r>
        <w:rPr>
          <w:spacing w:val="-14"/>
        </w:rPr>
        <w:t> </w:t>
      </w:r>
      <w:r>
        <w:rPr/>
        <w:t>for</w:t>
      </w:r>
      <w:r>
        <w:rPr>
          <w:spacing w:val="-14"/>
        </w:rPr>
        <w:t> </w:t>
      </w:r>
      <w:r>
        <w:rPr/>
        <w:t>tenants</w:t>
      </w:r>
      <w:r>
        <w:rPr>
          <w:spacing w:val="-14"/>
        </w:rPr>
        <w:t> </w:t>
      </w:r>
      <w:r>
        <w:rPr/>
        <w:t>and</w:t>
      </w:r>
      <w:r>
        <w:rPr>
          <w:spacing w:val="-13"/>
        </w:rPr>
        <w:t> </w:t>
      </w:r>
      <w:r>
        <w:rPr/>
        <w:t>allows</w:t>
      </w:r>
      <w:r>
        <w:rPr>
          <w:spacing w:val="-14"/>
        </w:rPr>
        <w:t> </w:t>
      </w:r>
      <w:r>
        <w:rPr/>
        <w:t>the</w:t>
      </w:r>
      <w:r>
        <w:rPr>
          <w:spacing w:val="-14"/>
        </w:rPr>
        <w:t> </w:t>
      </w:r>
      <w:r>
        <w:rPr/>
        <w:t>property</w:t>
      </w:r>
      <w:r>
        <w:rPr>
          <w:spacing w:val="-14"/>
        </w:rPr>
        <w:t> </w:t>
      </w:r>
      <w:r>
        <w:rPr/>
        <w:t>owner</w:t>
      </w:r>
      <w:r>
        <w:rPr>
          <w:spacing w:val="-13"/>
        </w:rPr>
        <w:t> </w:t>
      </w:r>
      <w:r>
        <w:rPr/>
        <w:t>or manager to minimize long-term vacancy.</w:t>
      </w:r>
    </w:p>
    <w:p>
      <w:pPr>
        <w:pStyle w:val="BodyText"/>
        <w:spacing w:after="0" w:line="288" w:lineRule="auto"/>
        <w:sectPr>
          <w:type w:val="continuous"/>
          <w:pgSz w:w="12240" w:h="15840"/>
          <w:pgMar w:header="0" w:footer="502" w:top="360" w:bottom="280" w:left="720" w:right="720"/>
        </w:sectPr>
      </w:pPr>
    </w:p>
    <w:p>
      <w:pPr>
        <w:spacing w:before="78"/>
        <w:ind w:left="1008" w:right="0" w:firstLine="0"/>
        <w:jc w:val="left"/>
        <w:rPr>
          <w:i/>
          <w:sz w:val="22"/>
        </w:rPr>
      </w:pPr>
      <w:r>
        <w:rPr>
          <w:i/>
          <w:sz w:val="22"/>
        </w:rPr>
        <w:t>Planned</w:t>
      </w:r>
      <w:r>
        <w:rPr>
          <w:i/>
          <w:spacing w:val="62"/>
          <w:sz w:val="22"/>
        </w:rPr>
        <w:t> </w:t>
      </w:r>
      <w:r>
        <w:rPr>
          <w:i/>
          <w:spacing w:val="-2"/>
          <w:sz w:val="22"/>
        </w:rPr>
        <w:t>Renovations</w:t>
      </w:r>
    </w:p>
    <w:p>
      <w:pPr>
        <w:pStyle w:val="BodyText"/>
        <w:spacing w:line="288" w:lineRule="auto" w:before="51"/>
        <w:ind w:left="1008" w:right="1001"/>
      </w:pPr>
      <w:r>
        <w:rPr/>
        <w:t>Twenty-two</w:t>
      </w:r>
      <w:r>
        <w:rPr>
          <w:spacing w:val="-3"/>
        </w:rPr>
        <w:t> </w:t>
      </w:r>
      <w:r>
        <w:rPr/>
        <w:t>respondents</w:t>
      </w:r>
      <w:r>
        <w:rPr>
          <w:spacing w:val="-3"/>
        </w:rPr>
        <w:t> </w:t>
      </w:r>
      <w:r>
        <w:rPr/>
        <w:t>reported</w:t>
      </w:r>
      <w:r>
        <w:rPr>
          <w:spacing w:val="-5"/>
        </w:rPr>
        <w:t> </w:t>
      </w:r>
      <w:r>
        <w:rPr/>
        <w:t>having</w:t>
      </w:r>
      <w:r>
        <w:rPr>
          <w:spacing w:val="-3"/>
        </w:rPr>
        <w:t> </w:t>
      </w:r>
      <w:r>
        <w:rPr/>
        <w:t>plans</w:t>
      </w:r>
      <w:r>
        <w:rPr>
          <w:spacing w:val="-3"/>
        </w:rPr>
        <w:t> </w:t>
      </w:r>
      <w:r>
        <w:rPr/>
        <w:t>to</w:t>
      </w:r>
      <w:r>
        <w:rPr>
          <w:spacing w:val="-3"/>
        </w:rPr>
        <w:t> </w:t>
      </w:r>
      <w:r>
        <w:rPr/>
        <w:t>undertake</w:t>
      </w:r>
      <w:r>
        <w:rPr>
          <w:spacing w:val="-3"/>
        </w:rPr>
        <w:t> </w:t>
      </w:r>
      <w:r>
        <w:rPr/>
        <w:t>renovations</w:t>
      </w:r>
      <w:r>
        <w:rPr>
          <w:spacing w:val="-3"/>
        </w:rPr>
        <w:t> </w:t>
      </w:r>
      <w:r>
        <w:rPr/>
        <w:t>within</w:t>
      </w:r>
      <w:r>
        <w:rPr>
          <w:spacing w:val="-3"/>
        </w:rPr>
        <w:t> </w:t>
      </w:r>
      <w:r>
        <w:rPr/>
        <w:t>the</w:t>
      </w:r>
      <w:r>
        <w:rPr>
          <w:spacing w:val="-3"/>
        </w:rPr>
        <w:t> </w:t>
      </w:r>
      <w:r>
        <w:rPr/>
        <w:t>next</w:t>
      </w:r>
      <w:r>
        <w:rPr>
          <w:spacing w:val="-4"/>
        </w:rPr>
        <w:t> </w:t>
      </w:r>
      <w:r>
        <w:rPr/>
        <w:t>12 months.</w:t>
      </w:r>
      <w:r>
        <w:rPr>
          <w:spacing w:val="34"/>
        </w:rPr>
        <w:t> </w:t>
      </w:r>
      <w:r>
        <w:rPr/>
        <w:t>Most</w:t>
      </w:r>
      <w:r>
        <w:rPr>
          <w:spacing w:val="-10"/>
        </w:rPr>
        <w:t> </w:t>
      </w:r>
      <w:r>
        <w:rPr/>
        <w:t>of</w:t>
      </w:r>
      <w:r>
        <w:rPr>
          <w:spacing w:val="-10"/>
        </w:rPr>
        <w:t> </w:t>
      </w:r>
      <w:r>
        <w:rPr/>
        <w:t>those</w:t>
      </w:r>
      <w:r>
        <w:rPr>
          <w:spacing w:val="-9"/>
        </w:rPr>
        <w:t> </w:t>
      </w:r>
      <w:r>
        <w:rPr/>
        <w:t>that</w:t>
      </w:r>
      <w:r>
        <w:rPr>
          <w:spacing w:val="-10"/>
        </w:rPr>
        <w:t> </w:t>
      </w:r>
      <w:r>
        <w:rPr/>
        <w:t>reported</w:t>
      </w:r>
      <w:r>
        <w:rPr>
          <w:spacing w:val="-9"/>
        </w:rPr>
        <w:t> </w:t>
      </w:r>
      <w:r>
        <w:rPr/>
        <w:t>planned</w:t>
      </w:r>
      <w:r>
        <w:rPr>
          <w:spacing w:val="-10"/>
        </w:rPr>
        <w:t> </w:t>
      </w:r>
      <w:r>
        <w:rPr/>
        <w:t>renovations</w:t>
      </w:r>
      <w:r>
        <w:rPr>
          <w:spacing w:val="-10"/>
        </w:rPr>
        <w:t> </w:t>
      </w:r>
      <w:r>
        <w:rPr/>
        <w:t>conduct</w:t>
      </w:r>
      <w:r>
        <w:rPr>
          <w:spacing w:val="-9"/>
        </w:rPr>
        <w:t> </w:t>
      </w:r>
      <w:r>
        <w:rPr/>
        <w:t>periodic</w:t>
      </w:r>
      <w:r>
        <w:rPr>
          <w:spacing w:val="-9"/>
        </w:rPr>
        <w:t> </w:t>
      </w:r>
      <w:r>
        <w:rPr/>
        <w:t>updates</w:t>
      </w:r>
      <w:r>
        <w:rPr>
          <w:spacing w:val="-9"/>
        </w:rPr>
        <w:t> </w:t>
      </w:r>
      <w:r>
        <w:rPr/>
        <w:t>as</w:t>
      </w:r>
      <w:r>
        <w:rPr>
          <w:spacing w:val="-9"/>
        </w:rPr>
        <w:t> </w:t>
      </w:r>
      <w:r>
        <w:rPr/>
        <w:t>units turn over.</w:t>
      </w:r>
      <w:r>
        <w:rPr>
          <w:spacing w:val="40"/>
        </w:rPr>
        <w:t> </w:t>
      </w:r>
      <w:r>
        <w:rPr/>
        <w:t>Other</w:t>
      </w:r>
      <w:r>
        <w:rPr>
          <w:spacing w:val="-2"/>
        </w:rPr>
        <w:t> </w:t>
      </w:r>
      <w:r>
        <w:rPr/>
        <w:t>common</w:t>
      </w:r>
      <w:r>
        <w:rPr>
          <w:spacing w:val="-3"/>
        </w:rPr>
        <w:t> </w:t>
      </w:r>
      <w:r>
        <w:rPr/>
        <w:t>upgrades include new kitchen</w:t>
      </w:r>
      <w:r>
        <w:rPr>
          <w:spacing w:val="-1"/>
        </w:rPr>
        <w:t> </w:t>
      </w:r>
      <w:r>
        <w:rPr/>
        <w:t>and bath</w:t>
      </w:r>
      <w:r>
        <w:rPr>
          <w:spacing w:val="-1"/>
        </w:rPr>
        <w:t> </w:t>
      </w:r>
      <w:r>
        <w:rPr/>
        <w:t>facilities, windows, and countertops.</w:t>
      </w:r>
      <w:r>
        <w:rPr>
          <w:spacing w:val="40"/>
        </w:rPr>
        <w:t> </w:t>
      </w:r>
      <w:r>
        <w:rPr/>
        <w:t>Other</w:t>
      </w:r>
      <w:r>
        <w:rPr>
          <w:spacing w:val="-9"/>
        </w:rPr>
        <w:t> </w:t>
      </w:r>
      <w:r>
        <w:rPr/>
        <w:t>exterior</w:t>
      </w:r>
      <w:r>
        <w:rPr>
          <w:spacing w:val="-8"/>
        </w:rPr>
        <w:t> </w:t>
      </w:r>
      <w:r>
        <w:rPr/>
        <w:t>upgrades</w:t>
      </w:r>
      <w:r>
        <w:rPr>
          <w:spacing w:val="-8"/>
        </w:rPr>
        <w:t> </w:t>
      </w:r>
      <w:r>
        <w:rPr/>
        <w:t>typically</w:t>
      </w:r>
      <w:r>
        <w:rPr>
          <w:spacing w:val="-8"/>
        </w:rPr>
        <w:t> </w:t>
      </w:r>
      <w:r>
        <w:rPr/>
        <w:t>include</w:t>
      </w:r>
      <w:r>
        <w:rPr>
          <w:spacing w:val="-8"/>
        </w:rPr>
        <w:t> </w:t>
      </w:r>
      <w:r>
        <w:rPr/>
        <w:t>new</w:t>
      </w:r>
      <w:r>
        <w:rPr>
          <w:spacing w:val="-8"/>
        </w:rPr>
        <w:t> </w:t>
      </w:r>
      <w:r>
        <w:rPr/>
        <w:t>paint</w:t>
      </w:r>
      <w:r>
        <w:rPr>
          <w:spacing w:val="-8"/>
        </w:rPr>
        <w:t> </w:t>
      </w:r>
      <w:r>
        <w:rPr/>
        <w:t>or</w:t>
      </w:r>
      <w:r>
        <w:rPr>
          <w:spacing w:val="-9"/>
        </w:rPr>
        <w:t> </w:t>
      </w:r>
      <w:r>
        <w:rPr/>
        <w:t>siding,</w:t>
      </w:r>
      <w:r>
        <w:rPr>
          <w:spacing w:val="-8"/>
        </w:rPr>
        <w:t> </w:t>
      </w:r>
      <w:r>
        <w:rPr/>
        <w:t>landscaping,</w:t>
      </w:r>
      <w:r>
        <w:rPr>
          <w:spacing w:val="-10"/>
        </w:rPr>
        <w:t> </w:t>
      </w:r>
      <w:r>
        <w:rPr/>
        <w:t>and common area improvements.</w:t>
      </w:r>
    </w:p>
    <w:sectPr>
      <w:pgSz w:w="12240" w:h="15840"/>
      <w:pgMar w:header="0" w:footer="502" w:top="1700" w:bottom="70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Franklin Gothic Medium">
    <w:altName w:val="Franklin Gothic Medium"/>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251520">
              <wp:simplePos x="0" y="0"/>
              <wp:positionH relativeFrom="page">
                <wp:posOffset>3784219</wp:posOffset>
              </wp:positionH>
              <wp:positionV relativeFrom="page">
                <wp:posOffset>9599700</wp:posOffset>
              </wp:positionV>
              <wp:extent cx="205740" cy="1987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5740" cy="198755"/>
                      </a:xfrm>
                      <a:prstGeom prst="rect">
                        <a:avLst/>
                      </a:prstGeom>
                    </wps:spPr>
                    <wps:txbx>
                      <w:txbxContent>
                        <w:p>
                          <w:pPr>
                            <w:spacing w:before="20"/>
                            <w:ind w:left="20" w:right="0" w:firstLine="0"/>
                            <w:jc w:val="left"/>
                            <w:rPr>
                              <w:sz w:val="24"/>
                            </w:rPr>
                          </w:pPr>
                          <w:r>
                            <w:rPr>
                              <w:color w:val="3E3E3E"/>
                              <w:spacing w:val="-5"/>
                              <w:sz w:val="24"/>
                            </w:rPr>
                            <w:fldChar w:fldCharType="begin"/>
                          </w:r>
                          <w:r>
                            <w:rPr>
                              <w:color w:val="3E3E3E"/>
                              <w:spacing w:val="-5"/>
                              <w:sz w:val="24"/>
                            </w:rPr>
                            <w:instrText> PAGE </w:instrText>
                          </w:r>
                          <w:r>
                            <w:rPr>
                              <w:color w:val="3E3E3E"/>
                              <w:spacing w:val="-5"/>
                              <w:sz w:val="24"/>
                            </w:rPr>
                            <w:fldChar w:fldCharType="separate"/>
                          </w:r>
                          <w:r>
                            <w:rPr>
                              <w:color w:val="3E3E3E"/>
                              <w:spacing w:val="-5"/>
                              <w:sz w:val="24"/>
                            </w:rPr>
                            <w:t>10</w:t>
                          </w:r>
                          <w:r>
                            <w:rPr>
                              <w:color w:val="3E3E3E"/>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970001pt;margin-top:755.881958pt;width:16.2pt;height:15.65pt;mso-position-horizontal-relative:page;mso-position-vertical-relative:page;z-index:-17064960" type="#_x0000_t202" id="docshape2" filled="false" stroked="false">
              <v:textbox inset="0,0,0,0">
                <w:txbxContent>
                  <w:p>
                    <w:pPr>
                      <w:spacing w:before="20"/>
                      <w:ind w:left="20" w:right="0" w:firstLine="0"/>
                      <w:jc w:val="left"/>
                      <w:rPr>
                        <w:sz w:val="24"/>
                      </w:rPr>
                    </w:pPr>
                    <w:r>
                      <w:rPr>
                        <w:color w:val="3E3E3E"/>
                        <w:spacing w:val="-5"/>
                        <w:sz w:val="24"/>
                      </w:rPr>
                      <w:fldChar w:fldCharType="begin"/>
                    </w:r>
                    <w:r>
                      <w:rPr>
                        <w:color w:val="3E3E3E"/>
                        <w:spacing w:val="-5"/>
                        <w:sz w:val="24"/>
                      </w:rPr>
                      <w:instrText> PAGE </w:instrText>
                    </w:r>
                    <w:r>
                      <w:rPr>
                        <w:color w:val="3E3E3E"/>
                        <w:spacing w:val="-5"/>
                        <w:sz w:val="24"/>
                      </w:rPr>
                      <w:fldChar w:fldCharType="separate"/>
                    </w:r>
                    <w:r>
                      <w:rPr>
                        <w:color w:val="3E3E3E"/>
                        <w:spacing w:val="-5"/>
                        <w:sz w:val="24"/>
                      </w:rPr>
                      <w:t>10</w:t>
                    </w:r>
                    <w:r>
                      <w:rPr>
                        <w:color w:val="3E3E3E"/>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1294" w:hanging="286"/>
        <w:jc w:val="left"/>
      </w:pPr>
      <w:rPr>
        <w:rFonts w:hint="default" w:ascii="Arial MT" w:hAnsi="Arial MT" w:eastAsia="Arial MT" w:cs="Arial MT"/>
        <w:b w:val="0"/>
        <w:bCs w:val="0"/>
        <w:i w:val="0"/>
        <w:iCs w:val="0"/>
        <w:spacing w:val="-1"/>
        <w:w w:val="100"/>
        <w:sz w:val="16"/>
        <w:szCs w:val="16"/>
        <w:lang w:val="en-US" w:eastAsia="en-US" w:bidi="ar-SA"/>
      </w:rPr>
    </w:lvl>
    <w:lvl w:ilvl="1">
      <w:start w:val="0"/>
      <w:numFmt w:val="bullet"/>
      <w:lvlText w:val="•"/>
      <w:lvlJc w:val="left"/>
      <w:pPr>
        <w:ind w:left="2250" w:hanging="286"/>
      </w:pPr>
      <w:rPr>
        <w:rFonts w:hint="default"/>
        <w:lang w:val="en-US" w:eastAsia="en-US" w:bidi="ar-SA"/>
      </w:rPr>
    </w:lvl>
    <w:lvl w:ilvl="2">
      <w:start w:val="0"/>
      <w:numFmt w:val="bullet"/>
      <w:lvlText w:val="•"/>
      <w:lvlJc w:val="left"/>
      <w:pPr>
        <w:ind w:left="3200" w:hanging="286"/>
      </w:pPr>
      <w:rPr>
        <w:rFonts w:hint="default"/>
        <w:lang w:val="en-US" w:eastAsia="en-US" w:bidi="ar-SA"/>
      </w:rPr>
    </w:lvl>
    <w:lvl w:ilvl="3">
      <w:start w:val="0"/>
      <w:numFmt w:val="bullet"/>
      <w:lvlText w:val="•"/>
      <w:lvlJc w:val="left"/>
      <w:pPr>
        <w:ind w:left="4150" w:hanging="286"/>
      </w:pPr>
      <w:rPr>
        <w:rFonts w:hint="default"/>
        <w:lang w:val="en-US" w:eastAsia="en-US" w:bidi="ar-SA"/>
      </w:rPr>
    </w:lvl>
    <w:lvl w:ilvl="4">
      <w:start w:val="0"/>
      <w:numFmt w:val="bullet"/>
      <w:lvlText w:val="•"/>
      <w:lvlJc w:val="left"/>
      <w:pPr>
        <w:ind w:left="5100" w:hanging="286"/>
      </w:pPr>
      <w:rPr>
        <w:rFonts w:hint="default"/>
        <w:lang w:val="en-US" w:eastAsia="en-US" w:bidi="ar-SA"/>
      </w:rPr>
    </w:lvl>
    <w:lvl w:ilvl="5">
      <w:start w:val="0"/>
      <w:numFmt w:val="bullet"/>
      <w:lvlText w:val="•"/>
      <w:lvlJc w:val="left"/>
      <w:pPr>
        <w:ind w:left="6050" w:hanging="286"/>
      </w:pPr>
      <w:rPr>
        <w:rFonts w:hint="default"/>
        <w:lang w:val="en-US" w:eastAsia="en-US" w:bidi="ar-SA"/>
      </w:rPr>
    </w:lvl>
    <w:lvl w:ilvl="6">
      <w:start w:val="0"/>
      <w:numFmt w:val="bullet"/>
      <w:lvlText w:val="•"/>
      <w:lvlJc w:val="left"/>
      <w:pPr>
        <w:ind w:left="7000" w:hanging="286"/>
      </w:pPr>
      <w:rPr>
        <w:rFonts w:hint="default"/>
        <w:lang w:val="en-US" w:eastAsia="en-US" w:bidi="ar-SA"/>
      </w:rPr>
    </w:lvl>
    <w:lvl w:ilvl="7">
      <w:start w:val="0"/>
      <w:numFmt w:val="bullet"/>
      <w:lvlText w:val="•"/>
      <w:lvlJc w:val="left"/>
      <w:pPr>
        <w:ind w:left="7950" w:hanging="286"/>
      </w:pPr>
      <w:rPr>
        <w:rFonts w:hint="default"/>
        <w:lang w:val="en-US" w:eastAsia="en-US" w:bidi="ar-SA"/>
      </w:rPr>
    </w:lvl>
    <w:lvl w:ilvl="8">
      <w:start w:val="0"/>
      <w:numFmt w:val="bullet"/>
      <w:lvlText w:val="•"/>
      <w:lvlJc w:val="left"/>
      <w:pPr>
        <w:ind w:left="8900" w:hanging="286"/>
      </w:pPr>
      <w:rPr>
        <w:rFonts w:hint="default"/>
        <w:lang w:val="en-US" w:eastAsia="en-US" w:bidi="ar-SA"/>
      </w:rPr>
    </w:lvl>
  </w:abstractNum>
  <w:abstractNum w:abstractNumId="3">
    <w:multiLevelType w:val="hybridMultilevel"/>
    <w:lvl w:ilvl="0">
      <w:start w:val="1"/>
      <w:numFmt w:val="lowerLetter"/>
      <w:lvlText w:val="(%1)"/>
      <w:lvlJc w:val="left"/>
      <w:pPr>
        <w:ind w:left="1008" w:hanging="286"/>
        <w:jc w:val="left"/>
      </w:pPr>
      <w:rPr>
        <w:rFonts w:hint="default" w:ascii="Arial MT" w:hAnsi="Arial MT" w:eastAsia="Arial MT" w:cs="Arial MT"/>
        <w:b w:val="0"/>
        <w:bCs w:val="0"/>
        <w:i w:val="0"/>
        <w:iCs w:val="0"/>
        <w:spacing w:val="-1"/>
        <w:w w:val="100"/>
        <w:sz w:val="16"/>
        <w:szCs w:val="16"/>
        <w:lang w:val="en-US" w:eastAsia="en-US" w:bidi="ar-SA"/>
      </w:rPr>
    </w:lvl>
    <w:lvl w:ilvl="1">
      <w:start w:val="0"/>
      <w:numFmt w:val="bullet"/>
      <w:lvlText w:val="•"/>
      <w:lvlJc w:val="left"/>
      <w:pPr>
        <w:ind w:left="1980" w:hanging="286"/>
      </w:pPr>
      <w:rPr>
        <w:rFonts w:hint="default"/>
        <w:lang w:val="en-US" w:eastAsia="en-US" w:bidi="ar-SA"/>
      </w:rPr>
    </w:lvl>
    <w:lvl w:ilvl="2">
      <w:start w:val="0"/>
      <w:numFmt w:val="bullet"/>
      <w:lvlText w:val="•"/>
      <w:lvlJc w:val="left"/>
      <w:pPr>
        <w:ind w:left="2960" w:hanging="286"/>
      </w:pPr>
      <w:rPr>
        <w:rFonts w:hint="default"/>
        <w:lang w:val="en-US" w:eastAsia="en-US" w:bidi="ar-SA"/>
      </w:rPr>
    </w:lvl>
    <w:lvl w:ilvl="3">
      <w:start w:val="0"/>
      <w:numFmt w:val="bullet"/>
      <w:lvlText w:val="•"/>
      <w:lvlJc w:val="left"/>
      <w:pPr>
        <w:ind w:left="3940" w:hanging="286"/>
      </w:pPr>
      <w:rPr>
        <w:rFonts w:hint="default"/>
        <w:lang w:val="en-US" w:eastAsia="en-US" w:bidi="ar-SA"/>
      </w:rPr>
    </w:lvl>
    <w:lvl w:ilvl="4">
      <w:start w:val="0"/>
      <w:numFmt w:val="bullet"/>
      <w:lvlText w:val="•"/>
      <w:lvlJc w:val="left"/>
      <w:pPr>
        <w:ind w:left="4920" w:hanging="286"/>
      </w:pPr>
      <w:rPr>
        <w:rFonts w:hint="default"/>
        <w:lang w:val="en-US" w:eastAsia="en-US" w:bidi="ar-SA"/>
      </w:rPr>
    </w:lvl>
    <w:lvl w:ilvl="5">
      <w:start w:val="0"/>
      <w:numFmt w:val="bullet"/>
      <w:lvlText w:val="•"/>
      <w:lvlJc w:val="left"/>
      <w:pPr>
        <w:ind w:left="5900" w:hanging="286"/>
      </w:pPr>
      <w:rPr>
        <w:rFonts w:hint="default"/>
        <w:lang w:val="en-US" w:eastAsia="en-US" w:bidi="ar-SA"/>
      </w:rPr>
    </w:lvl>
    <w:lvl w:ilvl="6">
      <w:start w:val="0"/>
      <w:numFmt w:val="bullet"/>
      <w:lvlText w:val="•"/>
      <w:lvlJc w:val="left"/>
      <w:pPr>
        <w:ind w:left="6880" w:hanging="286"/>
      </w:pPr>
      <w:rPr>
        <w:rFonts w:hint="default"/>
        <w:lang w:val="en-US" w:eastAsia="en-US" w:bidi="ar-SA"/>
      </w:rPr>
    </w:lvl>
    <w:lvl w:ilvl="7">
      <w:start w:val="0"/>
      <w:numFmt w:val="bullet"/>
      <w:lvlText w:val="•"/>
      <w:lvlJc w:val="left"/>
      <w:pPr>
        <w:ind w:left="7860" w:hanging="286"/>
      </w:pPr>
      <w:rPr>
        <w:rFonts w:hint="default"/>
        <w:lang w:val="en-US" w:eastAsia="en-US" w:bidi="ar-SA"/>
      </w:rPr>
    </w:lvl>
    <w:lvl w:ilvl="8">
      <w:start w:val="0"/>
      <w:numFmt w:val="bullet"/>
      <w:lvlText w:val="•"/>
      <w:lvlJc w:val="left"/>
      <w:pPr>
        <w:ind w:left="8840" w:hanging="286"/>
      </w:pPr>
      <w:rPr>
        <w:rFonts w:hint="default"/>
        <w:lang w:val="en-US" w:eastAsia="en-US" w:bidi="ar-SA"/>
      </w:rPr>
    </w:lvl>
  </w:abstractNum>
  <w:abstractNum w:abstractNumId="2">
    <w:multiLevelType w:val="hybridMultilevel"/>
    <w:lvl w:ilvl="0">
      <w:start w:val="1"/>
      <w:numFmt w:val="lowerLetter"/>
      <w:lvlText w:val="(%1)"/>
      <w:lvlJc w:val="left"/>
      <w:pPr>
        <w:ind w:left="1293" w:hanging="286"/>
        <w:jc w:val="left"/>
      </w:pPr>
      <w:rPr>
        <w:rFonts w:hint="default" w:ascii="Arial MT" w:hAnsi="Arial MT" w:eastAsia="Arial MT" w:cs="Arial MT"/>
        <w:b w:val="0"/>
        <w:bCs w:val="0"/>
        <w:i w:val="0"/>
        <w:iCs w:val="0"/>
        <w:spacing w:val="-1"/>
        <w:w w:val="100"/>
        <w:sz w:val="16"/>
        <w:szCs w:val="16"/>
        <w:lang w:val="en-US" w:eastAsia="en-US" w:bidi="ar-SA"/>
      </w:rPr>
    </w:lvl>
    <w:lvl w:ilvl="1">
      <w:start w:val="0"/>
      <w:numFmt w:val="bullet"/>
      <w:lvlText w:val="•"/>
      <w:lvlJc w:val="left"/>
      <w:pPr>
        <w:ind w:left="2250" w:hanging="286"/>
      </w:pPr>
      <w:rPr>
        <w:rFonts w:hint="default"/>
        <w:lang w:val="en-US" w:eastAsia="en-US" w:bidi="ar-SA"/>
      </w:rPr>
    </w:lvl>
    <w:lvl w:ilvl="2">
      <w:start w:val="0"/>
      <w:numFmt w:val="bullet"/>
      <w:lvlText w:val="•"/>
      <w:lvlJc w:val="left"/>
      <w:pPr>
        <w:ind w:left="3200" w:hanging="286"/>
      </w:pPr>
      <w:rPr>
        <w:rFonts w:hint="default"/>
        <w:lang w:val="en-US" w:eastAsia="en-US" w:bidi="ar-SA"/>
      </w:rPr>
    </w:lvl>
    <w:lvl w:ilvl="3">
      <w:start w:val="0"/>
      <w:numFmt w:val="bullet"/>
      <w:lvlText w:val="•"/>
      <w:lvlJc w:val="left"/>
      <w:pPr>
        <w:ind w:left="4150" w:hanging="286"/>
      </w:pPr>
      <w:rPr>
        <w:rFonts w:hint="default"/>
        <w:lang w:val="en-US" w:eastAsia="en-US" w:bidi="ar-SA"/>
      </w:rPr>
    </w:lvl>
    <w:lvl w:ilvl="4">
      <w:start w:val="0"/>
      <w:numFmt w:val="bullet"/>
      <w:lvlText w:val="•"/>
      <w:lvlJc w:val="left"/>
      <w:pPr>
        <w:ind w:left="5100" w:hanging="286"/>
      </w:pPr>
      <w:rPr>
        <w:rFonts w:hint="default"/>
        <w:lang w:val="en-US" w:eastAsia="en-US" w:bidi="ar-SA"/>
      </w:rPr>
    </w:lvl>
    <w:lvl w:ilvl="5">
      <w:start w:val="0"/>
      <w:numFmt w:val="bullet"/>
      <w:lvlText w:val="•"/>
      <w:lvlJc w:val="left"/>
      <w:pPr>
        <w:ind w:left="6050" w:hanging="286"/>
      </w:pPr>
      <w:rPr>
        <w:rFonts w:hint="default"/>
        <w:lang w:val="en-US" w:eastAsia="en-US" w:bidi="ar-SA"/>
      </w:rPr>
    </w:lvl>
    <w:lvl w:ilvl="6">
      <w:start w:val="0"/>
      <w:numFmt w:val="bullet"/>
      <w:lvlText w:val="•"/>
      <w:lvlJc w:val="left"/>
      <w:pPr>
        <w:ind w:left="7000" w:hanging="286"/>
      </w:pPr>
      <w:rPr>
        <w:rFonts w:hint="default"/>
        <w:lang w:val="en-US" w:eastAsia="en-US" w:bidi="ar-SA"/>
      </w:rPr>
    </w:lvl>
    <w:lvl w:ilvl="7">
      <w:start w:val="0"/>
      <w:numFmt w:val="bullet"/>
      <w:lvlText w:val="•"/>
      <w:lvlJc w:val="left"/>
      <w:pPr>
        <w:ind w:left="7950" w:hanging="286"/>
      </w:pPr>
      <w:rPr>
        <w:rFonts w:hint="default"/>
        <w:lang w:val="en-US" w:eastAsia="en-US" w:bidi="ar-SA"/>
      </w:rPr>
    </w:lvl>
    <w:lvl w:ilvl="8">
      <w:start w:val="0"/>
      <w:numFmt w:val="bullet"/>
      <w:lvlText w:val="•"/>
      <w:lvlJc w:val="left"/>
      <w:pPr>
        <w:ind w:left="8900" w:hanging="286"/>
      </w:pPr>
      <w:rPr>
        <w:rFonts w:hint="default"/>
        <w:lang w:val="en-US" w:eastAsia="en-US" w:bidi="ar-SA"/>
      </w:rPr>
    </w:lvl>
  </w:abstractNum>
  <w:abstractNum w:abstractNumId="1">
    <w:multiLevelType w:val="hybridMultilevel"/>
    <w:lvl w:ilvl="0">
      <w:start w:val="1"/>
      <w:numFmt w:val="lowerLetter"/>
      <w:lvlText w:val="(%1)"/>
      <w:lvlJc w:val="left"/>
      <w:pPr>
        <w:ind w:left="1293" w:hanging="286"/>
        <w:jc w:val="left"/>
      </w:pPr>
      <w:rPr>
        <w:rFonts w:hint="default" w:ascii="Arial MT" w:hAnsi="Arial MT" w:eastAsia="Arial MT" w:cs="Arial MT"/>
        <w:b w:val="0"/>
        <w:bCs w:val="0"/>
        <w:i w:val="0"/>
        <w:iCs w:val="0"/>
        <w:spacing w:val="-1"/>
        <w:w w:val="100"/>
        <w:sz w:val="16"/>
        <w:szCs w:val="16"/>
        <w:lang w:val="en-US" w:eastAsia="en-US" w:bidi="ar-SA"/>
      </w:rPr>
    </w:lvl>
    <w:lvl w:ilvl="1">
      <w:start w:val="0"/>
      <w:numFmt w:val="bullet"/>
      <w:lvlText w:val="•"/>
      <w:lvlJc w:val="left"/>
      <w:pPr>
        <w:ind w:left="2250" w:hanging="286"/>
      </w:pPr>
      <w:rPr>
        <w:rFonts w:hint="default"/>
        <w:lang w:val="en-US" w:eastAsia="en-US" w:bidi="ar-SA"/>
      </w:rPr>
    </w:lvl>
    <w:lvl w:ilvl="2">
      <w:start w:val="0"/>
      <w:numFmt w:val="bullet"/>
      <w:lvlText w:val="•"/>
      <w:lvlJc w:val="left"/>
      <w:pPr>
        <w:ind w:left="3200" w:hanging="286"/>
      </w:pPr>
      <w:rPr>
        <w:rFonts w:hint="default"/>
        <w:lang w:val="en-US" w:eastAsia="en-US" w:bidi="ar-SA"/>
      </w:rPr>
    </w:lvl>
    <w:lvl w:ilvl="3">
      <w:start w:val="0"/>
      <w:numFmt w:val="bullet"/>
      <w:lvlText w:val="•"/>
      <w:lvlJc w:val="left"/>
      <w:pPr>
        <w:ind w:left="4150" w:hanging="286"/>
      </w:pPr>
      <w:rPr>
        <w:rFonts w:hint="default"/>
        <w:lang w:val="en-US" w:eastAsia="en-US" w:bidi="ar-SA"/>
      </w:rPr>
    </w:lvl>
    <w:lvl w:ilvl="4">
      <w:start w:val="0"/>
      <w:numFmt w:val="bullet"/>
      <w:lvlText w:val="•"/>
      <w:lvlJc w:val="left"/>
      <w:pPr>
        <w:ind w:left="5100" w:hanging="286"/>
      </w:pPr>
      <w:rPr>
        <w:rFonts w:hint="default"/>
        <w:lang w:val="en-US" w:eastAsia="en-US" w:bidi="ar-SA"/>
      </w:rPr>
    </w:lvl>
    <w:lvl w:ilvl="5">
      <w:start w:val="0"/>
      <w:numFmt w:val="bullet"/>
      <w:lvlText w:val="•"/>
      <w:lvlJc w:val="left"/>
      <w:pPr>
        <w:ind w:left="6050" w:hanging="286"/>
      </w:pPr>
      <w:rPr>
        <w:rFonts w:hint="default"/>
        <w:lang w:val="en-US" w:eastAsia="en-US" w:bidi="ar-SA"/>
      </w:rPr>
    </w:lvl>
    <w:lvl w:ilvl="6">
      <w:start w:val="0"/>
      <w:numFmt w:val="bullet"/>
      <w:lvlText w:val="•"/>
      <w:lvlJc w:val="left"/>
      <w:pPr>
        <w:ind w:left="7000" w:hanging="286"/>
      </w:pPr>
      <w:rPr>
        <w:rFonts w:hint="default"/>
        <w:lang w:val="en-US" w:eastAsia="en-US" w:bidi="ar-SA"/>
      </w:rPr>
    </w:lvl>
    <w:lvl w:ilvl="7">
      <w:start w:val="0"/>
      <w:numFmt w:val="bullet"/>
      <w:lvlText w:val="•"/>
      <w:lvlJc w:val="left"/>
      <w:pPr>
        <w:ind w:left="7950" w:hanging="286"/>
      </w:pPr>
      <w:rPr>
        <w:rFonts w:hint="default"/>
        <w:lang w:val="en-US" w:eastAsia="en-US" w:bidi="ar-SA"/>
      </w:rPr>
    </w:lvl>
    <w:lvl w:ilvl="8">
      <w:start w:val="0"/>
      <w:numFmt w:val="bullet"/>
      <w:lvlText w:val="•"/>
      <w:lvlJc w:val="left"/>
      <w:pPr>
        <w:ind w:left="8900" w:hanging="286"/>
      </w:pPr>
      <w:rPr>
        <w:rFonts w:hint="default"/>
        <w:lang w:val="en-US" w:eastAsia="en-US" w:bidi="ar-SA"/>
      </w:rPr>
    </w:lvl>
  </w:abstractNum>
  <w:abstractNum w:abstractNumId="0">
    <w:multiLevelType w:val="hybridMultilevel"/>
    <w:lvl w:ilvl="0">
      <w:start w:val="1"/>
      <w:numFmt w:val="lowerLetter"/>
      <w:lvlText w:val="(%1)"/>
      <w:lvlJc w:val="left"/>
      <w:pPr>
        <w:ind w:left="1293" w:hanging="286"/>
        <w:jc w:val="left"/>
      </w:pPr>
      <w:rPr>
        <w:rFonts w:hint="default" w:ascii="Arial MT" w:hAnsi="Arial MT" w:eastAsia="Arial MT" w:cs="Arial MT"/>
        <w:b w:val="0"/>
        <w:bCs w:val="0"/>
        <w:i w:val="0"/>
        <w:iCs w:val="0"/>
        <w:spacing w:val="-1"/>
        <w:w w:val="100"/>
        <w:sz w:val="16"/>
        <w:szCs w:val="16"/>
        <w:lang w:val="en-US" w:eastAsia="en-US" w:bidi="ar-SA"/>
      </w:rPr>
    </w:lvl>
    <w:lvl w:ilvl="1">
      <w:start w:val="2"/>
      <w:numFmt w:val="decimal"/>
      <w:lvlText w:val="%2"/>
      <w:lvlJc w:val="left"/>
      <w:pPr>
        <w:ind w:left="2260" w:hanging="132"/>
        <w:jc w:val="left"/>
      </w:pPr>
      <w:rPr>
        <w:rFonts w:hint="default" w:ascii="Calibri" w:hAnsi="Calibri" w:eastAsia="Calibri" w:cs="Calibri"/>
        <w:b w:val="0"/>
        <w:bCs w:val="0"/>
        <w:i w:val="0"/>
        <w:iCs w:val="0"/>
        <w:color w:val="585858"/>
        <w:spacing w:val="0"/>
        <w:w w:val="100"/>
        <w:sz w:val="18"/>
        <w:szCs w:val="18"/>
        <w:lang w:val="en-US" w:eastAsia="en-US" w:bidi="ar-SA"/>
      </w:rPr>
    </w:lvl>
    <w:lvl w:ilvl="2">
      <w:start w:val="0"/>
      <w:numFmt w:val="bullet"/>
      <w:lvlText w:val="•"/>
      <w:lvlJc w:val="left"/>
      <w:pPr>
        <w:ind w:left="3208" w:hanging="132"/>
      </w:pPr>
      <w:rPr>
        <w:rFonts w:hint="default"/>
        <w:lang w:val="en-US" w:eastAsia="en-US" w:bidi="ar-SA"/>
      </w:rPr>
    </w:lvl>
    <w:lvl w:ilvl="3">
      <w:start w:val="0"/>
      <w:numFmt w:val="bullet"/>
      <w:lvlText w:val="•"/>
      <w:lvlJc w:val="left"/>
      <w:pPr>
        <w:ind w:left="4157" w:hanging="132"/>
      </w:pPr>
      <w:rPr>
        <w:rFonts w:hint="default"/>
        <w:lang w:val="en-US" w:eastAsia="en-US" w:bidi="ar-SA"/>
      </w:rPr>
    </w:lvl>
    <w:lvl w:ilvl="4">
      <w:start w:val="0"/>
      <w:numFmt w:val="bullet"/>
      <w:lvlText w:val="•"/>
      <w:lvlJc w:val="left"/>
      <w:pPr>
        <w:ind w:left="5106" w:hanging="132"/>
      </w:pPr>
      <w:rPr>
        <w:rFonts w:hint="default"/>
        <w:lang w:val="en-US" w:eastAsia="en-US" w:bidi="ar-SA"/>
      </w:rPr>
    </w:lvl>
    <w:lvl w:ilvl="5">
      <w:start w:val="0"/>
      <w:numFmt w:val="bullet"/>
      <w:lvlText w:val="•"/>
      <w:lvlJc w:val="left"/>
      <w:pPr>
        <w:ind w:left="6055" w:hanging="132"/>
      </w:pPr>
      <w:rPr>
        <w:rFonts w:hint="default"/>
        <w:lang w:val="en-US" w:eastAsia="en-US" w:bidi="ar-SA"/>
      </w:rPr>
    </w:lvl>
    <w:lvl w:ilvl="6">
      <w:start w:val="0"/>
      <w:numFmt w:val="bullet"/>
      <w:lvlText w:val="•"/>
      <w:lvlJc w:val="left"/>
      <w:pPr>
        <w:ind w:left="7004" w:hanging="132"/>
      </w:pPr>
      <w:rPr>
        <w:rFonts w:hint="default"/>
        <w:lang w:val="en-US" w:eastAsia="en-US" w:bidi="ar-SA"/>
      </w:rPr>
    </w:lvl>
    <w:lvl w:ilvl="7">
      <w:start w:val="0"/>
      <w:numFmt w:val="bullet"/>
      <w:lvlText w:val="•"/>
      <w:lvlJc w:val="left"/>
      <w:pPr>
        <w:ind w:left="7953" w:hanging="132"/>
      </w:pPr>
      <w:rPr>
        <w:rFonts w:hint="default"/>
        <w:lang w:val="en-US" w:eastAsia="en-US" w:bidi="ar-SA"/>
      </w:rPr>
    </w:lvl>
    <w:lvl w:ilvl="8">
      <w:start w:val="0"/>
      <w:numFmt w:val="bullet"/>
      <w:lvlText w:val="•"/>
      <w:lvlJc w:val="left"/>
      <w:pPr>
        <w:ind w:left="8902" w:hanging="132"/>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Medium" w:hAnsi="Franklin Gothic Medium" w:eastAsia="Franklin Gothic Medium" w:cs="Franklin Gothic Medium"/>
      <w:lang w:val="en-US" w:eastAsia="en-US" w:bidi="ar-SA"/>
    </w:rPr>
  </w:style>
  <w:style w:styleId="BodyText" w:type="paragraph">
    <w:name w:val="Body Text"/>
    <w:basedOn w:val="Normal"/>
    <w:uiPriority w:val="1"/>
    <w:qFormat/>
    <w:pPr/>
    <w:rPr>
      <w:rFonts w:ascii="Franklin Gothic Medium" w:hAnsi="Franklin Gothic Medium" w:eastAsia="Franklin Gothic Medium" w:cs="Franklin Gothic Medium"/>
      <w:sz w:val="22"/>
      <w:szCs w:val="22"/>
      <w:lang w:val="en-US" w:eastAsia="en-US" w:bidi="ar-SA"/>
    </w:rPr>
  </w:style>
  <w:style w:styleId="Title" w:type="paragraph">
    <w:name w:val="Title"/>
    <w:basedOn w:val="Normal"/>
    <w:uiPriority w:val="1"/>
    <w:qFormat/>
    <w:pPr>
      <w:spacing w:before="72"/>
      <w:ind w:left="1008"/>
    </w:pPr>
    <w:rPr>
      <w:rFonts w:ascii="Trebuchet MS" w:hAnsi="Trebuchet MS" w:eastAsia="Trebuchet MS" w:cs="Trebuchet MS"/>
      <w:sz w:val="92"/>
      <w:szCs w:val="92"/>
      <w:lang w:val="en-US" w:eastAsia="en-US" w:bidi="ar-SA"/>
    </w:rPr>
  </w:style>
  <w:style w:styleId="ListParagraph" w:type="paragraph">
    <w:name w:val="List Paragraph"/>
    <w:basedOn w:val="Normal"/>
    <w:uiPriority w:val="1"/>
    <w:qFormat/>
    <w:pPr>
      <w:ind w:left="1008"/>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data.census.gov/" TargetMode="External"/><Relationship Id="rId6" Type="http://schemas.openxmlformats.org/officeDocument/2006/relationships/hyperlink" Target="http://www.bae1.com/" TargetMode="External"/><Relationship Id="rId7" Type="http://schemas.openxmlformats.org/officeDocument/2006/relationships/footer" Target="footer1.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Nousaine</dc:creator>
  <dcterms:created xsi:type="dcterms:W3CDTF">2026-04-22T17:03:48Z</dcterms:created>
  <dcterms:modified xsi:type="dcterms:W3CDTF">2026-04-22T17:03:48Z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ies>
</file>