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92D050"/>
        </w:rPr>
        <w:t>bae</w:t>
      </w:r>
      <w:r>
        <w:rPr>
          <w:color w:val="92D050"/>
          <w:spacing w:val="-6"/>
        </w:rPr>
        <w:t> </w:t>
      </w:r>
      <w:r>
        <w:rPr>
          <w:color w:val="A6A6A6"/>
        </w:rPr>
        <w:t>urban</w:t>
      </w:r>
      <w:r>
        <w:rPr>
          <w:color w:val="A6A6A6"/>
          <w:spacing w:val="-3"/>
        </w:rPr>
        <w:t> </w:t>
      </w:r>
      <w:r>
        <w:rPr>
          <w:color w:val="A6A6A6"/>
          <w:spacing w:val="-2"/>
        </w:rPr>
        <w:t>economics</w:t>
      </w:r>
    </w:p>
    <w:p>
      <w:pPr>
        <w:pStyle w:val="BodyText"/>
        <w:spacing w:before="154"/>
        <w:rPr>
          <w:rFonts w:ascii="Trebuchet MS"/>
          <w:sz w:val="28"/>
        </w:rPr>
      </w:pPr>
    </w:p>
    <w:p>
      <w:pPr>
        <w:spacing w:before="1"/>
        <w:ind w:left="1191" w:right="1190" w:firstLine="0"/>
        <w:jc w:val="center"/>
        <w:rPr>
          <w:sz w:val="28"/>
        </w:rPr>
      </w:pPr>
      <w:r>
        <w:rPr>
          <w:sz w:val="28"/>
        </w:rPr>
        <w:t>2025</w:t>
      </w:r>
      <w:r>
        <w:rPr>
          <w:spacing w:val="-9"/>
          <w:sz w:val="28"/>
        </w:rPr>
        <w:t> </w:t>
      </w:r>
      <w:r>
        <w:rPr>
          <w:sz w:val="28"/>
        </w:rPr>
        <w:t>Apartment</w:t>
      </w:r>
      <w:r>
        <w:rPr>
          <w:spacing w:val="-8"/>
          <w:sz w:val="28"/>
        </w:rPr>
        <w:t> </w:t>
      </w:r>
      <w:r>
        <w:rPr>
          <w:sz w:val="28"/>
        </w:rPr>
        <w:t>Vacancy</w:t>
      </w:r>
      <w:r>
        <w:rPr>
          <w:spacing w:val="-9"/>
          <w:sz w:val="28"/>
        </w:rPr>
        <w:t> </w:t>
      </w:r>
      <w:r>
        <w:rPr>
          <w:sz w:val="28"/>
        </w:rPr>
        <w:t>and</w:t>
      </w:r>
      <w:r>
        <w:rPr>
          <w:spacing w:val="-9"/>
          <w:sz w:val="28"/>
        </w:rPr>
        <w:t> </w:t>
      </w:r>
      <w:r>
        <w:rPr>
          <w:sz w:val="28"/>
        </w:rPr>
        <w:t>Rental</w:t>
      </w:r>
      <w:r>
        <w:rPr>
          <w:spacing w:val="-8"/>
          <w:sz w:val="28"/>
        </w:rPr>
        <w:t> </w:t>
      </w:r>
      <w:r>
        <w:rPr>
          <w:sz w:val="28"/>
        </w:rPr>
        <w:t>Rate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Survey</w:t>
      </w:r>
    </w:p>
    <w:p>
      <w:pPr>
        <w:pStyle w:val="BodyText"/>
        <w:spacing w:before="141"/>
        <w:ind w:left="1190" w:right="1190"/>
        <w:jc w:val="center"/>
      </w:pPr>
      <w:r>
        <w:rPr/>
        <w:t>Presented</w:t>
      </w:r>
      <w:r>
        <w:rPr>
          <w:spacing w:val="-15"/>
        </w:rPr>
        <w:t> </w:t>
      </w:r>
      <w:r>
        <w:rPr/>
        <w:t>on</w:t>
      </w:r>
      <w:r>
        <w:rPr>
          <w:spacing w:val="-12"/>
        </w:rPr>
        <w:t> </w:t>
      </w:r>
      <w:r>
        <w:rPr/>
        <w:t>behalf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UC</w:t>
      </w:r>
      <w:r>
        <w:rPr>
          <w:spacing w:val="-12"/>
        </w:rPr>
        <w:t> </w:t>
      </w:r>
      <w:r>
        <w:rPr/>
        <w:t>Davis</w:t>
      </w:r>
      <w:r>
        <w:rPr>
          <w:spacing w:val="-12"/>
        </w:rPr>
        <w:t> </w:t>
      </w:r>
      <w:r>
        <w:rPr/>
        <w:t>Student</w:t>
      </w:r>
      <w:r>
        <w:rPr>
          <w:spacing w:val="-13"/>
        </w:rPr>
        <w:t> </w:t>
      </w:r>
      <w:r>
        <w:rPr/>
        <w:t>Housing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Dining</w:t>
      </w:r>
      <w:r>
        <w:rPr>
          <w:spacing w:val="-11"/>
        </w:rPr>
        <w:t> </w:t>
      </w:r>
      <w:r>
        <w:rPr>
          <w:spacing w:val="-2"/>
        </w:rPr>
        <w:t>Services</w:t>
      </w:r>
    </w:p>
    <w:p>
      <w:pPr>
        <w:pStyle w:val="BodyText"/>
        <w:spacing w:before="51"/>
      </w:pPr>
    </w:p>
    <w:p>
      <w:pPr>
        <w:spacing w:before="0"/>
        <w:ind w:left="288" w:right="0" w:firstLine="0"/>
        <w:jc w:val="left"/>
        <w:rPr>
          <w:sz w:val="28"/>
        </w:rPr>
      </w:pPr>
      <w:r>
        <w:rPr>
          <w:spacing w:val="-2"/>
          <w:sz w:val="28"/>
        </w:rPr>
        <w:t>Overview</w:t>
      </w:r>
    </w:p>
    <w:p>
      <w:pPr>
        <w:pStyle w:val="BodyText"/>
        <w:spacing w:line="288" w:lineRule="auto" w:before="51"/>
        <w:ind w:left="288" w:right="288"/>
      </w:pPr>
      <w:r>
        <w:rPr/>
        <w:t>The</w:t>
      </w:r>
      <w:r>
        <w:rPr>
          <w:spacing w:val="-4"/>
        </w:rPr>
        <w:t> </w:t>
      </w:r>
      <w:r>
        <w:rPr/>
        <w:t>annual</w:t>
      </w:r>
      <w:r>
        <w:rPr>
          <w:spacing w:val="-4"/>
        </w:rPr>
        <w:t> </w:t>
      </w:r>
      <w:r>
        <w:rPr/>
        <w:t>Apartment</w:t>
      </w:r>
      <w:r>
        <w:rPr>
          <w:spacing w:val="-4"/>
        </w:rPr>
        <w:t> </w:t>
      </w:r>
      <w:r>
        <w:rPr/>
        <w:t>Vacancy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Rental</w:t>
      </w:r>
      <w:r>
        <w:rPr>
          <w:spacing w:val="-4"/>
        </w:rPr>
        <w:t> </w:t>
      </w:r>
      <w:r>
        <w:rPr/>
        <w:t>Rate</w:t>
      </w:r>
      <w:r>
        <w:rPr>
          <w:spacing w:val="-4"/>
        </w:rPr>
        <w:t> </w:t>
      </w:r>
      <w:r>
        <w:rPr/>
        <w:t>Survey</w:t>
      </w:r>
      <w:r>
        <w:rPr>
          <w:spacing w:val="-3"/>
        </w:rPr>
        <w:t> </w:t>
      </w:r>
      <w:r>
        <w:rPr/>
        <w:t>collects</w:t>
      </w:r>
      <w:r>
        <w:rPr>
          <w:spacing w:val="-3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on</w:t>
      </w:r>
      <w:r>
        <w:rPr>
          <w:spacing w:val="-4"/>
        </w:rPr>
        <w:t> </w:t>
      </w:r>
      <w:r>
        <w:rPr/>
        <w:t>the characteristics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rental</w:t>
      </w:r>
      <w:r>
        <w:rPr>
          <w:spacing w:val="-2"/>
        </w:rPr>
        <w:t> </w:t>
      </w:r>
      <w:r>
        <w:rPr/>
        <w:t>apartment</w:t>
      </w:r>
      <w:r>
        <w:rPr>
          <w:spacing w:val="-3"/>
        </w:rPr>
        <w:t> </w:t>
      </w:r>
      <w:r>
        <w:rPr/>
        <w:t>units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Davis</w:t>
      </w:r>
      <w:r>
        <w:rPr>
          <w:spacing w:val="-2"/>
        </w:rPr>
        <w:t> </w:t>
      </w:r>
      <w:r>
        <w:rPr/>
        <w:t>community.</w:t>
      </w:r>
      <w:r>
        <w:rPr>
          <w:spacing w:val="-2"/>
        </w:rPr>
        <w:t> </w:t>
      </w:r>
      <w:r>
        <w:rPr/>
        <w:t>Similar</w:t>
      </w:r>
      <w:r>
        <w:rPr>
          <w:spacing w:val="-3"/>
        </w:rPr>
        <w:t> </w:t>
      </w:r>
      <w:r>
        <w:rPr/>
        <w:t>surveys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/>
        <w:t>been conducted annually, since at least 1975. Since 2013, the survey has been administered in partnership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BAE</w:t>
      </w:r>
      <w:r>
        <w:rPr>
          <w:spacing w:val="-3"/>
        </w:rPr>
        <w:t> </w:t>
      </w:r>
      <w:r>
        <w:rPr/>
        <w:t>Urban</w:t>
      </w:r>
      <w:r>
        <w:rPr>
          <w:spacing w:val="-3"/>
        </w:rPr>
        <w:t> </w:t>
      </w:r>
      <w:r>
        <w:rPr/>
        <w:t>Economics</w:t>
      </w:r>
      <w:r>
        <w:rPr>
          <w:spacing w:val="-2"/>
        </w:rPr>
        <w:t> </w:t>
      </w:r>
      <w:r>
        <w:rPr/>
        <w:t>(BAE),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private</w:t>
      </w:r>
      <w:r>
        <w:rPr>
          <w:spacing w:val="-1"/>
        </w:rPr>
        <w:t> </w:t>
      </w:r>
      <w:r>
        <w:rPr/>
        <w:t>real</w:t>
      </w:r>
      <w:r>
        <w:rPr>
          <w:spacing w:val="-2"/>
        </w:rPr>
        <w:t> </w:t>
      </w:r>
      <w:r>
        <w:rPr/>
        <w:t>estate</w:t>
      </w:r>
      <w:r>
        <w:rPr>
          <w:spacing w:val="-3"/>
        </w:rPr>
        <w:t> </w:t>
      </w:r>
      <w:r>
        <w:rPr/>
        <w:t>consulting</w:t>
      </w:r>
      <w:r>
        <w:rPr>
          <w:spacing w:val="-2"/>
        </w:rPr>
        <w:t> </w:t>
      </w:r>
      <w:r>
        <w:rPr/>
        <w:t>firm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an office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Davis.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survey's</w:t>
      </w:r>
      <w:r>
        <w:rPr>
          <w:spacing w:val="-2"/>
        </w:rPr>
        <w:t> </w:t>
      </w:r>
      <w:r>
        <w:rPr/>
        <w:t>objective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provide</w:t>
      </w:r>
      <w:r>
        <w:rPr>
          <w:spacing w:val="-4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help</w:t>
      </w:r>
      <w:r>
        <w:rPr>
          <w:spacing w:val="-3"/>
        </w:rPr>
        <w:t> </w:t>
      </w:r>
      <w:r>
        <w:rPr/>
        <w:t>inform planning decisions on campus and throughout the broader Davis area. For example, survey results</w:t>
      </w:r>
      <w:r>
        <w:rPr>
          <w:spacing w:val="-2"/>
        </w:rPr>
        <w:t> </w:t>
      </w:r>
      <w:r>
        <w:rPr/>
        <w:t>help</w:t>
      </w:r>
      <w:r>
        <w:rPr>
          <w:spacing w:val="-1"/>
        </w:rPr>
        <w:t> </w:t>
      </w:r>
      <w:r>
        <w:rPr/>
        <w:t>campus</w:t>
      </w:r>
      <w:r>
        <w:rPr>
          <w:spacing w:val="-2"/>
        </w:rPr>
        <w:t> </w:t>
      </w:r>
      <w:r>
        <w:rPr/>
        <w:t>officials</w:t>
      </w:r>
      <w:r>
        <w:rPr>
          <w:spacing w:val="-2"/>
        </w:rPr>
        <w:t> </w:t>
      </w:r>
      <w:r>
        <w:rPr/>
        <w:t>assess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current</w:t>
      </w:r>
      <w:r>
        <w:rPr>
          <w:spacing w:val="-3"/>
        </w:rPr>
        <w:t> </w:t>
      </w:r>
      <w:r>
        <w:rPr/>
        <w:t>housing</w:t>
      </w:r>
      <w:r>
        <w:rPr>
          <w:spacing w:val="-2"/>
        </w:rPr>
        <w:t> </w:t>
      </w:r>
      <w:r>
        <w:rPr/>
        <w:t>market</w:t>
      </w:r>
      <w:r>
        <w:rPr>
          <w:spacing w:val="-3"/>
        </w:rPr>
        <w:t> </w:t>
      </w:r>
      <w:r>
        <w:rPr/>
        <w:t>conditions</w:t>
      </w:r>
      <w:r>
        <w:rPr>
          <w:spacing w:val="-1"/>
        </w:rPr>
        <w:t> </w:t>
      </w:r>
      <w:r>
        <w:rPr/>
        <w:t>faced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UC</w:t>
      </w:r>
      <w:r>
        <w:rPr>
          <w:spacing w:val="-1"/>
        </w:rPr>
        <w:t> </w:t>
      </w:r>
      <w:r>
        <w:rPr/>
        <w:t>Davis students,</w:t>
      </w:r>
      <w:r>
        <w:rPr>
          <w:spacing w:val="-9"/>
        </w:rPr>
        <w:t> </w:t>
      </w:r>
      <w:r>
        <w:rPr/>
        <w:t>faculty,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staff.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survey</w:t>
      </w:r>
      <w:r>
        <w:rPr>
          <w:spacing w:val="-9"/>
        </w:rPr>
        <w:t> </w:t>
      </w:r>
      <w:r>
        <w:rPr/>
        <w:t>results</w:t>
      </w:r>
      <w:r>
        <w:rPr>
          <w:spacing w:val="-9"/>
        </w:rPr>
        <w:t> </w:t>
      </w:r>
      <w:r>
        <w:rPr/>
        <w:t>also</w:t>
      </w:r>
      <w:r>
        <w:rPr>
          <w:spacing w:val="-9"/>
        </w:rPr>
        <w:t> </w:t>
      </w:r>
      <w:r>
        <w:rPr/>
        <w:t>help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university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assess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likely</w:t>
      </w:r>
      <w:r>
        <w:rPr>
          <w:spacing w:val="-9"/>
        </w:rPr>
        <w:t> </w:t>
      </w:r>
      <w:r>
        <w:rPr/>
        <w:t>need for and feasibility of proposed campus housing projects.</w:t>
      </w:r>
    </w:p>
    <w:p>
      <w:pPr>
        <w:pStyle w:val="BodyText"/>
        <w:spacing w:before="23"/>
      </w:pPr>
    </w:p>
    <w:p>
      <w:pPr>
        <w:spacing w:before="0"/>
        <w:ind w:left="288" w:right="0" w:firstLine="0"/>
        <w:jc w:val="left"/>
        <w:rPr>
          <w:sz w:val="28"/>
        </w:rPr>
      </w:pPr>
      <w:r>
        <w:rPr>
          <w:sz w:val="28"/>
        </w:rPr>
        <w:t>2025</w:t>
      </w:r>
      <w:r>
        <w:rPr>
          <w:spacing w:val="-8"/>
          <w:sz w:val="28"/>
        </w:rPr>
        <w:t> </w:t>
      </w:r>
      <w:r>
        <w:rPr>
          <w:sz w:val="28"/>
        </w:rPr>
        <w:t>Survey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Results</w:t>
      </w:r>
    </w:p>
    <w:p>
      <w:pPr>
        <w:pStyle w:val="BodyText"/>
        <w:spacing w:line="288" w:lineRule="auto" w:before="51"/>
        <w:ind w:left="287" w:right="288"/>
      </w:pPr>
      <w:r>
        <w:rPr/>
        <w:t>One</w:t>
      </w:r>
      <w:r>
        <w:rPr>
          <w:spacing w:val="-3"/>
        </w:rPr>
        <w:t> </w:t>
      </w:r>
      <w:r>
        <w:rPr/>
        <w:t>hundred</w:t>
      </w:r>
      <w:r>
        <w:rPr>
          <w:spacing w:val="-1"/>
        </w:rPr>
        <w:t> </w:t>
      </w:r>
      <w:r>
        <w:rPr/>
        <w:t>eleven</w:t>
      </w:r>
      <w:r>
        <w:rPr>
          <w:spacing w:val="-2"/>
        </w:rPr>
        <w:t> </w:t>
      </w:r>
      <w:r>
        <w:rPr/>
        <w:t>(111)</w:t>
      </w:r>
      <w:r>
        <w:rPr>
          <w:spacing w:val="-2"/>
        </w:rPr>
        <w:t> </w:t>
      </w:r>
      <w:r>
        <w:rPr/>
        <w:t>apartment</w:t>
      </w:r>
      <w:r>
        <w:rPr>
          <w:spacing w:val="-3"/>
        </w:rPr>
        <w:t> </w:t>
      </w:r>
      <w:r>
        <w:rPr/>
        <w:t>complexes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property</w:t>
      </w:r>
      <w:r>
        <w:rPr>
          <w:spacing w:val="-1"/>
        </w:rPr>
        <w:t> </w:t>
      </w:r>
      <w:r>
        <w:rPr/>
        <w:t>management</w:t>
      </w:r>
      <w:r>
        <w:rPr>
          <w:spacing w:val="-3"/>
        </w:rPr>
        <w:t> </w:t>
      </w:r>
      <w:r>
        <w:rPr/>
        <w:t>companies responded to the 2025 survey. These properties feature a total of 10,917 reported rental units. This represents a slight decrease in the number of respondent complexes and associated</w:t>
      </w:r>
      <w:r>
        <w:rPr>
          <w:spacing w:val="-1"/>
        </w:rPr>
        <w:t> </w:t>
      </w:r>
      <w:r>
        <w:rPr/>
        <w:t>rental</w:t>
      </w:r>
      <w:r>
        <w:rPr>
          <w:spacing w:val="-1"/>
        </w:rPr>
        <w:t> </w:t>
      </w:r>
      <w:r>
        <w:rPr/>
        <w:t>units</w:t>
      </w:r>
      <w:r>
        <w:rPr>
          <w:spacing w:val="-1"/>
        </w:rPr>
        <w:t> </w:t>
      </w:r>
      <w:r>
        <w:rPr/>
        <w:t>compared</w:t>
      </w:r>
      <w:r>
        <w:rPr>
          <w:spacing w:val="-1"/>
        </w:rPr>
        <w:t> </w:t>
      </w:r>
      <w:r>
        <w:rPr/>
        <w:t>to 2024.</w:t>
      </w:r>
      <w:hyperlink w:history="true" w:anchor="_bookmark0">
        <w:r>
          <w:rPr>
            <w:position w:val="5"/>
            <w:sz w:val="14"/>
          </w:rPr>
          <w:t>1</w:t>
        </w:r>
      </w:hyperlink>
      <w:r>
        <w:rPr>
          <w:spacing w:val="74"/>
          <w:position w:val="5"/>
          <w:sz w:val="14"/>
        </w:rPr>
        <w:t> </w:t>
      </w:r>
      <w:r>
        <w:rPr/>
        <w:t>While the</w:t>
      </w:r>
      <w:r>
        <w:rPr>
          <w:spacing w:val="-2"/>
        </w:rPr>
        <w:t> </w:t>
      </w:r>
      <w:r>
        <w:rPr/>
        <w:t>majority 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surveyed</w:t>
      </w:r>
      <w:r>
        <w:rPr>
          <w:spacing w:val="-1"/>
        </w:rPr>
        <w:t> </w:t>
      </w:r>
      <w:r>
        <w:rPr/>
        <w:t>properties lease</w:t>
      </w:r>
      <w:r>
        <w:rPr>
          <w:spacing w:val="-10"/>
        </w:rPr>
        <w:t> </w:t>
      </w:r>
      <w:r>
        <w:rPr/>
        <w:t>whole</w:t>
      </w:r>
      <w:r>
        <w:rPr>
          <w:spacing w:val="-8"/>
        </w:rPr>
        <w:t> </w:t>
      </w:r>
      <w:r>
        <w:rPr/>
        <w:t>units,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survey</w:t>
      </w:r>
      <w:r>
        <w:rPr>
          <w:spacing w:val="-9"/>
        </w:rPr>
        <w:t> </w:t>
      </w:r>
      <w:r>
        <w:rPr/>
        <w:t>recorded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total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21</w:t>
      </w:r>
      <w:r>
        <w:rPr>
          <w:spacing w:val="-8"/>
        </w:rPr>
        <w:t> </w:t>
      </w:r>
      <w:r>
        <w:rPr/>
        <w:t>properties</w:t>
      </w:r>
      <w:r>
        <w:rPr>
          <w:spacing w:val="-9"/>
        </w:rPr>
        <w:t> </w:t>
      </w:r>
      <w:r>
        <w:rPr/>
        <w:t>that</w:t>
      </w:r>
      <w:r>
        <w:rPr>
          <w:spacing w:val="-10"/>
        </w:rPr>
        <w:t> </w:t>
      </w:r>
      <w:r>
        <w:rPr/>
        <w:t>lease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total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3,664</w:t>
      </w:r>
      <w:r>
        <w:rPr>
          <w:spacing w:val="-9"/>
        </w:rPr>
        <w:t> </w:t>
      </w:r>
      <w:r>
        <w:rPr/>
        <w:t>units on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per-bed</w:t>
      </w:r>
      <w:r>
        <w:rPr>
          <w:spacing w:val="-6"/>
        </w:rPr>
        <w:t> </w:t>
      </w:r>
      <w:r>
        <w:rPr/>
        <w:t>basis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total</w:t>
      </w:r>
      <w:r>
        <w:rPr>
          <w:spacing w:val="-6"/>
        </w:rPr>
        <w:t> </w:t>
      </w:r>
      <w:r>
        <w:rPr/>
        <w:t>inventory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10,329</w:t>
      </w:r>
      <w:r>
        <w:rPr>
          <w:spacing w:val="-7"/>
        </w:rPr>
        <w:t> </w:t>
      </w:r>
      <w:r>
        <w:rPr/>
        <w:t>leasable</w:t>
      </w:r>
      <w:r>
        <w:rPr>
          <w:spacing w:val="-5"/>
        </w:rPr>
        <w:t> </w:t>
      </w:r>
      <w:r>
        <w:rPr/>
        <w:t>beds.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represents</w:t>
      </w:r>
      <w:r>
        <w:rPr>
          <w:spacing w:val="-6"/>
        </w:rPr>
        <w:t> </w:t>
      </w:r>
      <w:r>
        <w:rPr/>
        <w:t>an</w:t>
      </w:r>
      <w:r>
        <w:rPr>
          <w:spacing w:val="-7"/>
        </w:rPr>
        <w:t> </w:t>
      </w:r>
      <w:r>
        <w:rPr/>
        <w:t>increase in properties providing units on a per bed basis, but a slight decrease of 250 beds in comparison to the 2024 survey.</w:t>
      </w:r>
    </w:p>
    <w:p>
      <w:pPr>
        <w:pStyle w:val="BodyText"/>
        <w:spacing w:line="288" w:lineRule="auto" w:before="189"/>
        <w:ind w:left="287" w:right="288"/>
      </w:pPr>
      <w:r>
        <w:rPr/>
        <w:t>According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estimates</w:t>
      </w:r>
      <w:r>
        <w:rPr>
          <w:spacing w:val="-11"/>
        </w:rPr>
        <w:t> </w:t>
      </w:r>
      <w:r>
        <w:rPr/>
        <w:t>from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American</w:t>
      </w:r>
      <w:r>
        <w:rPr>
          <w:spacing w:val="-12"/>
        </w:rPr>
        <w:t> </w:t>
      </w:r>
      <w:r>
        <w:rPr/>
        <w:t>Community</w:t>
      </w:r>
      <w:r>
        <w:rPr>
          <w:spacing w:val="-11"/>
        </w:rPr>
        <w:t> </w:t>
      </w:r>
      <w:r>
        <w:rPr/>
        <w:t>Survey</w:t>
      </w:r>
      <w:r>
        <w:rPr>
          <w:spacing w:val="-11"/>
        </w:rPr>
        <w:t> </w:t>
      </w:r>
      <w:r>
        <w:rPr/>
        <w:t>(ACS)</w:t>
      </w:r>
      <w:r>
        <w:rPr>
          <w:spacing w:val="-11"/>
        </w:rPr>
        <w:t> </w:t>
      </w:r>
      <w:r>
        <w:rPr/>
        <w:t>there</w:t>
      </w:r>
      <w:r>
        <w:rPr>
          <w:spacing w:val="-12"/>
        </w:rPr>
        <w:t> </w:t>
      </w:r>
      <w:r>
        <w:rPr/>
        <w:t>were</w:t>
      </w:r>
      <w:r>
        <w:rPr>
          <w:spacing w:val="-12"/>
        </w:rPr>
        <w:t> </w:t>
      </w:r>
      <w:r>
        <w:rPr/>
        <w:t>approximately 12,939</w:t>
      </w:r>
      <w:r>
        <w:rPr>
          <w:spacing w:val="-12"/>
        </w:rPr>
        <w:t> </w:t>
      </w:r>
      <w:r>
        <w:rPr/>
        <w:t>multifamily</w:t>
      </w:r>
      <w:r>
        <w:rPr>
          <w:spacing w:val="-11"/>
        </w:rPr>
        <w:t> </w:t>
      </w:r>
      <w:r>
        <w:rPr/>
        <w:t>housing</w:t>
      </w:r>
      <w:r>
        <w:rPr>
          <w:spacing w:val="-11"/>
        </w:rPr>
        <w:t> </w:t>
      </w:r>
      <w:r>
        <w:rPr/>
        <w:t>units,</w:t>
      </w:r>
      <w:r>
        <w:rPr>
          <w:spacing w:val="-11"/>
        </w:rPr>
        <w:t> </w:t>
      </w:r>
      <w:r>
        <w:rPr/>
        <w:t>on</w:t>
      </w:r>
      <w:r>
        <w:rPr>
          <w:spacing w:val="-12"/>
        </w:rPr>
        <w:t> </w:t>
      </w:r>
      <w:r>
        <w:rPr/>
        <w:t>average,</w:t>
      </w:r>
      <w:r>
        <w:rPr>
          <w:spacing w:val="-11"/>
        </w:rPr>
        <w:t> </w:t>
      </w:r>
      <w:r>
        <w:rPr/>
        <w:t>on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UC</w:t>
      </w:r>
      <w:r>
        <w:rPr>
          <w:spacing w:val="-11"/>
        </w:rPr>
        <w:t> </w:t>
      </w:r>
      <w:r>
        <w:rPr/>
        <w:t>Davis</w:t>
      </w:r>
      <w:r>
        <w:rPr>
          <w:spacing w:val="-11"/>
        </w:rPr>
        <w:t> </w:t>
      </w:r>
      <w:r>
        <w:rPr/>
        <w:t>campus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in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City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Davis between 2020 and 2024.</w:t>
      </w:r>
      <w:hyperlink w:history="true" w:anchor="_bookmark1">
        <w:r>
          <w:rPr>
            <w:position w:val="5"/>
            <w:sz w:val="14"/>
          </w:rPr>
          <w:t>2</w:t>
        </w:r>
      </w:hyperlink>
      <w:r>
        <w:rPr>
          <w:spacing w:val="33"/>
          <w:position w:val="5"/>
          <w:sz w:val="14"/>
        </w:rPr>
        <w:t> </w:t>
      </w:r>
      <w:hyperlink w:history="true" w:anchor="_bookmark2">
        <w:r>
          <w:rPr>
            <w:position w:val="5"/>
            <w:sz w:val="14"/>
          </w:rPr>
          <w:t>3</w:t>
        </w:r>
      </w:hyperlink>
      <w:r>
        <w:rPr>
          <w:spacing w:val="80"/>
          <w:position w:val="5"/>
          <w:sz w:val="14"/>
        </w:rPr>
        <w:t> </w:t>
      </w:r>
      <w:r>
        <w:rPr/>
        <w:t>This indicates that the units captured in the 2024 apartment survey</w:t>
      </w:r>
      <w:r>
        <w:rPr>
          <w:spacing w:val="-3"/>
        </w:rPr>
        <w:t> </w:t>
      </w:r>
      <w:r>
        <w:rPr/>
        <w:t>account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approximately</w:t>
      </w:r>
      <w:r>
        <w:rPr>
          <w:spacing w:val="-2"/>
        </w:rPr>
        <w:t> </w:t>
      </w:r>
      <w:r>
        <w:rPr/>
        <w:t>84.4</w:t>
      </w:r>
      <w:r>
        <w:rPr>
          <w:spacing w:val="-2"/>
        </w:rPr>
        <w:t> </w:t>
      </w:r>
      <w:r>
        <w:rPr/>
        <w:t>percent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Davis</w:t>
      </w:r>
      <w:r>
        <w:rPr>
          <w:spacing w:val="-3"/>
        </w:rPr>
        <w:t> </w:t>
      </w:r>
      <w:r>
        <w:rPr/>
        <w:t>area</w:t>
      </w:r>
      <w:r>
        <w:rPr>
          <w:spacing w:val="-2"/>
        </w:rPr>
        <w:t> </w:t>
      </w:r>
      <w:r>
        <w:rPr/>
        <w:t>multifamily</w:t>
      </w:r>
      <w:r>
        <w:rPr>
          <w:spacing w:val="-3"/>
        </w:rPr>
        <w:t> </w:t>
      </w:r>
      <w:r>
        <w:rPr/>
        <w:t>housing</w:t>
      </w:r>
      <w:r>
        <w:rPr>
          <w:spacing w:val="-3"/>
        </w:rPr>
        <w:t> </w:t>
      </w:r>
      <w:r>
        <w:rPr/>
        <w:t>stock.</w:t>
      </w:r>
    </w:p>
    <w:p>
      <w:pPr>
        <w:pStyle w:val="BodyText"/>
        <w:spacing w:line="288" w:lineRule="auto" w:before="188"/>
        <w:ind w:left="287" w:right="288"/>
      </w:pPr>
      <w:r>
        <w:rPr/>
        <w:t>Of the 111 properties that responded to the 2025 survey, 12 reported leasing units at below market</w:t>
      </w:r>
      <w:r>
        <w:rPr>
          <w:spacing w:val="-14"/>
        </w:rPr>
        <w:t> </w:t>
      </w:r>
      <w:r>
        <w:rPr/>
        <w:t>rents</w:t>
      </w:r>
      <w:r>
        <w:rPr>
          <w:spacing w:val="-14"/>
        </w:rPr>
        <w:t> </w:t>
      </w:r>
      <w:r>
        <w:rPr/>
        <w:t>(i.e.,</w:t>
      </w:r>
      <w:r>
        <w:rPr>
          <w:spacing w:val="-14"/>
        </w:rPr>
        <w:t> </w:t>
      </w:r>
      <w:r>
        <w:rPr/>
        <w:t>requiring</w:t>
      </w:r>
      <w:r>
        <w:rPr>
          <w:spacing w:val="-13"/>
        </w:rPr>
        <w:t> </w:t>
      </w:r>
      <w:r>
        <w:rPr/>
        <w:t>an</w:t>
      </w:r>
      <w:r>
        <w:rPr>
          <w:spacing w:val="-14"/>
        </w:rPr>
        <w:t> </w:t>
      </w:r>
      <w:r>
        <w:rPr/>
        <w:t>income</w:t>
      </w:r>
      <w:r>
        <w:rPr>
          <w:spacing w:val="-14"/>
        </w:rPr>
        <w:t> </w:t>
      </w:r>
      <w:r>
        <w:rPr/>
        <w:t>eligibility</w:t>
      </w:r>
      <w:r>
        <w:rPr>
          <w:spacing w:val="-14"/>
        </w:rPr>
        <w:t> </w:t>
      </w:r>
      <w:r>
        <w:rPr/>
        <w:t>test</w:t>
      </w:r>
      <w:r>
        <w:rPr>
          <w:spacing w:val="-13"/>
        </w:rPr>
        <w:t> </w:t>
      </w:r>
      <w:r>
        <w:rPr/>
        <w:t>to</w:t>
      </w:r>
      <w:r>
        <w:rPr>
          <w:spacing w:val="-14"/>
        </w:rPr>
        <w:t> </w:t>
      </w:r>
      <w:r>
        <w:rPr/>
        <w:t>qualify</w:t>
      </w:r>
      <w:r>
        <w:rPr>
          <w:spacing w:val="-14"/>
        </w:rPr>
        <w:t> </w:t>
      </w:r>
      <w:r>
        <w:rPr/>
        <w:t>prospective</w:t>
      </w:r>
      <w:r>
        <w:rPr>
          <w:spacing w:val="-14"/>
        </w:rPr>
        <w:t> </w:t>
      </w:r>
      <w:r>
        <w:rPr/>
        <w:t>tenants</w:t>
      </w:r>
      <w:r>
        <w:rPr>
          <w:spacing w:val="-13"/>
        </w:rPr>
        <w:t> </w:t>
      </w:r>
      <w:r>
        <w:rPr/>
        <w:t>for</w:t>
      </w:r>
      <w:r>
        <w:rPr>
          <w:spacing w:val="-14"/>
        </w:rPr>
        <w:t> </w:t>
      </w:r>
      <w:r>
        <w:rPr/>
        <w:t>reduced or</w:t>
      </w:r>
      <w:r>
        <w:rPr>
          <w:spacing w:val="-10"/>
        </w:rPr>
        <w:t> </w:t>
      </w:r>
      <w:r>
        <w:rPr/>
        <w:t>subsidized</w:t>
      </w:r>
      <w:r>
        <w:rPr>
          <w:spacing w:val="-9"/>
        </w:rPr>
        <w:t> </w:t>
      </w:r>
      <w:r>
        <w:rPr/>
        <w:t>rents).</w:t>
      </w:r>
      <w:r>
        <w:rPr>
          <w:spacing w:val="-9"/>
        </w:rPr>
        <w:t> </w:t>
      </w:r>
      <w:r>
        <w:rPr/>
        <w:t>Four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those</w:t>
      </w:r>
      <w:r>
        <w:rPr>
          <w:spacing w:val="-8"/>
        </w:rPr>
        <w:t> </w:t>
      </w:r>
      <w:r>
        <w:rPr/>
        <w:t>respondents</w:t>
      </w:r>
      <w:r>
        <w:rPr>
          <w:spacing w:val="-8"/>
        </w:rPr>
        <w:t> </w:t>
      </w:r>
      <w:r>
        <w:rPr/>
        <w:t>reported</w:t>
      </w:r>
      <w:r>
        <w:rPr>
          <w:spacing w:val="-9"/>
        </w:rPr>
        <w:t> </w:t>
      </w:r>
      <w:r>
        <w:rPr/>
        <w:t>renting</w:t>
      </w:r>
      <w:r>
        <w:rPr>
          <w:spacing w:val="-9"/>
        </w:rPr>
        <w:t> </w:t>
      </w:r>
      <w:r>
        <w:rPr/>
        <w:t>all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units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complex</w:t>
      </w:r>
      <w:r>
        <w:rPr>
          <w:spacing w:val="-9"/>
        </w:rPr>
        <w:t> </w:t>
      </w:r>
      <w:r>
        <w:rPr/>
        <w:t>at below</w:t>
      </w:r>
      <w:r>
        <w:rPr>
          <w:spacing w:val="-5"/>
        </w:rPr>
        <w:t> </w:t>
      </w:r>
      <w:r>
        <w:rPr/>
        <w:t>market</w:t>
      </w:r>
      <w:r>
        <w:rPr>
          <w:spacing w:val="-6"/>
        </w:rPr>
        <w:t> </w:t>
      </w:r>
      <w:r>
        <w:rPr/>
        <w:t>rates,</w:t>
      </w:r>
      <w:r>
        <w:rPr>
          <w:spacing w:val="-5"/>
        </w:rPr>
        <w:t> </w:t>
      </w:r>
      <w:r>
        <w:rPr/>
        <w:t>while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remaining</w:t>
      </w:r>
      <w:r>
        <w:rPr>
          <w:spacing w:val="-5"/>
        </w:rPr>
        <w:t> </w:t>
      </w:r>
      <w:r>
        <w:rPr/>
        <w:t>eight</w:t>
      </w:r>
      <w:r>
        <w:rPr>
          <w:spacing w:val="-6"/>
        </w:rPr>
        <w:t> </w:t>
      </w:r>
      <w:r>
        <w:rPr/>
        <w:t>properties</w:t>
      </w:r>
      <w:r>
        <w:rPr>
          <w:spacing w:val="-5"/>
        </w:rPr>
        <w:t> </w:t>
      </w:r>
      <w:r>
        <w:rPr/>
        <w:t>rent</w:t>
      </w:r>
      <w:r>
        <w:rPr>
          <w:spacing w:val="-6"/>
        </w:rPr>
        <w:t> </w:t>
      </w:r>
      <w:r>
        <w:rPr/>
        <w:t>some</w:t>
      </w:r>
      <w:r>
        <w:rPr>
          <w:spacing w:val="-6"/>
        </w:rPr>
        <w:t> </w:t>
      </w:r>
      <w:r>
        <w:rPr/>
        <w:t>units</w:t>
      </w:r>
      <w:r>
        <w:rPr>
          <w:spacing w:val="-5"/>
        </w:rPr>
        <w:t> </w:t>
      </w:r>
      <w:r>
        <w:rPr/>
        <w:t>at</w:t>
      </w:r>
      <w:r>
        <w:rPr>
          <w:spacing w:val="-6"/>
        </w:rPr>
        <w:t> </w:t>
      </w:r>
      <w:r>
        <w:rPr/>
        <w:t>below</w:t>
      </w:r>
      <w:r>
        <w:rPr>
          <w:spacing w:val="-5"/>
        </w:rPr>
        <w:t> </w:t>
      </w:r>
      <w:r>
        <w:rPr/>
        <w:t>market rates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some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market</w:t>
      </w:r>
      <w:r>
        <w:rPr>
          <w:spacing w:val="-3"/>
        </w:rPr>
        <w:t> </w:t>
      </w:r>
      <w:r>
        <w:rPr/>
        <w:t>rates.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12</w:t>
      </w:r>
      <w:r>
        <w:rPr>
          <w:spacing w:val="-3"/>
        </w:rPr>
        <w:t> </w:t>
      </w:r>
      <w:r>
        <w:rPr/>
        <w:t>complexes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reported</w:t>
      </w:r>
      <w:r>
        <w:rPr>
          <w:spacing w:val="-2"/>
        </w:rPr>
        <w:t> </w:t>
      </w:r>
      <w:r>
        <w:rPr/>
        <w:t>renting</w:t>
      </w:r>
      <w:r>
        <w:rPr>
          <w:spacing w:val="-1"/>
        </w:rPr>
        <w:t> </w:t>
      </w:r>
      <w:r>
        <w:rPr/>
        <w:t>units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below</w:t>
      </w:r>
    </w:p>
    <w:p>
      <w:pPr>
        <w:pStyle w:val="BodyText"/>
        <w:spacing w:before="8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1097280</wp:posOffset>
                </wp:positionH>
                <wp:positionV relativeFrom="paragraph">
                  <wp:posOffset>214775</wp:posOffset>
                </wp:positionV>
                <wp:extent cx="1828800" cy="698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8288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98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858"/>
                              </a:lnTo>
                              <a:lnTo>
                                <a:pt x="1828800" y="6858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6.400002pt;margin-top:16.911446pt;width:144pt;height:.54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8"/>
        </w:rPr>
      </w:pPr>
    </w:p>
    <w:p>
      <w:pPr>
        <w:pStyle w:val="BodyText"/>
        <w:spacing w:before="80"/>
        <w:rPr>
          <w:sz w:val="18"/>
        </w:rPr>
      </w:pPr>
    </w:p>
    <w:p>
      <w:pPr>
        <w:spacing w:line="352" w:lineRule="auto" w:before="1"/>
        <w:ind w:left="287" w:right="288" w:firstLine="0"/>
        <w:jc w:val="left"/>
        <w:rPr>
          <w:sz w:val="18"/>
        </w:rPr>
      </w:pPr>
      <w:bookmarkStart w:name="_bookmark0" w:id="1"/>
      <w:bookmarkEnd w:id="1"/>
      <w:r>
        <w:rPr/>
      </w:r>
      <w:r>
        <w:rPr>
          <w:position w:val="4"/>
          <w:sz w:val="12"/>
        </w:rPr>
        <w:t>1</w:t>
      </w:r>
      <w:r>
        <w:rPr>
          <w:spacing w:val="-1"/>
          <w:position w:val="4"/>
          <w:sz w:val="12"/>
        </w:rPr>
        <w:t> </w:t>
      </w:r>
      <w:r>
        <w:rPr>
          <w:sz w:val="18"/>
        </w:rPr>
        <w:t>BAE</w:t>
      </w:r>
      <w:r>
        <w:rPr>
          <w:spacing w:val="-11"/>
          <w:sz w:val="18"/>
        </w:rPr>
        <w:t> </w:t>
      </w:r>
      <w:r>
        <w:rPr>
          <w:sz w:val="18"/>
        </w:rPr>
        <w:t>received</w:t>
      </w:r>
      <w:r>
        <w:rPr>
          <w:spacing w:val="-12"/>
          <w:sz w:val="18"/>
        </w:rPr>
        <w:t> </w:t>
      </w:r>
      <w:r>
        <w:rPr>
          <w:sz w:val="18"/>
        </w:rPr>
        <w:t>responses</w:t>
      </w:r>
      <w:r>
        <w:rPr>
          <w:spacing w:val="-11"/>
          <w:sz w:val="18"/>
        </w:rPr>
        <w:t> </w:t>
      </w:r>
      <w:r>
        <w:rPr>
          <w:sz w:val="18"/>
        </w:rPr>
        <w:t>from</w:t>
      </w:r>
      <w:r>
        <w:rPr>
          <w:spacing w:val="-11"/>
          <w:sz w:val="18"/>
        </w:rPr>
        <w:t> </w:t>
      </w:r>
      <w:r>
        <w:rPr>
          <w:sz w:val="18"/>
        </w:rPr>
        <w:t>116</w:t>
      </w:r>
      <w:r>
        <w:rPr>
          <w:spacing w:val="-11"/>
          <w:sz w:val="18"/>
        </w:rPr>
        <w:t> </w:t>
      </w:r>
      <w:r>
        <w:rPr>
          <w:sz w:val="18"/>
        </w:rPr>
        <w:t>unique</w:t>
      </w:r>
      <w:r>
        <w:rPr>
          <w:spacing w:val="-12"/>
          <w:sz w:val="18"/>
        </w:rPr>
        <w:t> </w:t>
      </w:r>
      <w:r>
        <w:rPr>
          <w:sz w:val="18"/>
        </w:rPr>
        <w:t>apartment</w:t>
      </w:r>
      <w:r>
        <w:rPr>
          <w:spacing w:val="-11"/>
          <w:sz w:val="18"/>
        </w:rPr>
        <w:t> </w:t>
      </w:r>
      <w:r>
        <w:rPr>
          <w:sz w:val="18"/>
        </w:rPr>
        <w:t>complexes</w:t>
      </w:r>
      <w:r>
        <w:rPr>
          <w:spacing w:val="-11"/>
          <w:sz w:val="18"/>
        </w:rPr>
        <w:t> </w:t>
      </w:r>
      <w:r>
        <w:rPr>
          <w:sz w:val="18"/>
        </w:rPr>
        <w:t>and</w:t>
      </w:r>
      <w:r>
        <w:rPr>
          <w:spacing w:val="-11"/>
          <w:sz w:val="18"/>
        </w:rPr>
        <w:t> </w:t>
      </w:r>
      <w:r>
        <w:rPr>
          <w:sz w:val="18"/>
        </w:rPr>
        <w:t>property</w:t>
      </w:r>
      <w:r>
        <w:rPr>
          <w:spacing w:val="-12"/>
          <w:sz w:val="18"/>
        </w:rPr>
        <w:t> </w:t>
      </w:r>
      <w:r>
        <w:rPr>
          <w:sz w:val="18"/>
        </w:rPr>
        <w:t>management</w:t>
      </w:r>
      <w:r>
        <w:rPr>
          <w:spacing w:val="-11"/>
          <w:sz w:val="18"/>
        </w:rPr>
        <w:t> </w:t>
      </w:r>
      <w:r>
        <w:rPr>
          <w:sz w:val="18"/>
        </w:rPr>
        <w:t>companies</w:t>
      </w:r>
      <w:r>
        <w:rPr>
          <w:spacing w:val="-11"/>
          <w:sz w:val="18"/>
        </w:rPr>
        <w:t> </w:t>
      </w:r>
      <w:r>
        <w:rPr>
          <w:sz w:val="18"/>
        </w:rPr>
        <w:t>as</w:t>
      </w:r>
      <w:r>
        <w:rPr>
          <w:spacing w:val="-11"/>
          <w:sz w:val="18"/>
        </w:rPr>
        <w:t> </w:t>
      </w:r>
      <w:r>
        <w:rPr>
          <w:sz w:val="18"/>
        </w:rPr>
        <w:t>part</w:t>
      </w:r>
      <w:r>
        <w:rPr>
          <w:spacing w:val="-12"/>
          <w:sz w:val="18"/>
        </w:rPr>
        <w:t> </w:t>
      </w:r>
      <w:r>
        <w:rPr>
          <w:sz w:val="18"/>
        </w:rPr>
        <w:t>of the 2024 survey, representing 11,144 rental units.</w:t>
      </w:r>
    </w:p>
    <w:p>
      <w:pPr>
        <w:spacing w:before="0"/>
        <w:ind w:left="288" w:right="0" w:firstLine="0"/>
        <w:jc w:val="left"/>
        <w:rPr>
          <w:sz w:val="18"/>
        </w:rPr>
      </w:pPr>
      <w:bookmarkStart w:name="_bookmark1" w:id="2"/>
      <w:bookmarkEnd w:id="2"/>
      <w:r>
        <w:rPr/>
      </w:r>
      <w:r>
        <w:rPr>
          <w:position w:val="4"/>
          <w:sz w:val="12"/>
        </w:rPr>
        <w:t>2</w:t>
      </w:r>
      <w:r>
        <w:rPr>
          <w:spacing w:val="4"/>
          <w:position w:val="4"/>
          <w:sz w:val="12"/>
        </w:rPr>
        <w:t> </w:t>
      </w:r>
      <w:r>
        <w:rPr>
          <w:sz w:val="18"/>
        </w:rPr>
        <w:t>Includes</w:t>
      </w:r>
      <w:r>
        <w:rPr>
          <w:spacing w:val="-10"/>
          <w:sz w:val="18"/>
        </w:rPr>
        <w:t> </w:t>
      </w:r>
      <w:r>
        <w:rPr>
          <w:sz w:val="18"/>
        </w:rPr>
        <w:t>the</w:t>
      </w:r>
      <w:r>
        <w:rPr>
          <w:spacing w:val="-11"/>
          <w:sz w:val="18"/>
        </w:rPr>
        <w:t> </w:t>
      </w:r>
      <w:r>
        <w:rPr>
          <w:sz w:val="18"/>
        </w:rPr>
        <w:t>City</w:t>
      </w:r>
      <w:r>
        <w:rPr>
          <w:spacing w:val="-10"/>
          <w:sz w:val="18"/>
        </w:rPr>
        <w:t> </w:t>
      </w:r>
      <w:r>
        <w:rPr>
          <w:sz w:val="18"/>
        </w:rPr>
        <w:t>of</w:t>
      </w:r>
      <w:r>
        <w:rPr>
          <w:spacing w:val="-11"/>
          <w:sz w:val="18"/>
        </w:rPr>
        <w:t> </w:t>
      </w:r>
      <w:r>
        <w:rPr>
          <w:sz w:val="18"/>
        </w:rPr>
        <w:t>Davis</w:t>
      </w:r>
      <w:r>
        <w:rPr>
          <w:spacing w:val="-10"/>
          <w:sz w:val="18"/>
        </w:rPr>
        <w:t> </w:t>
      </w:r>
      <w:r>
        <w:rPr>
          <w:sz w:val="18"/>
        </w:rPr>
        <w:t>and</w:t>
      </w:r>
      <w:r>
        <w:rPr>
          <w:spacing w:val="-11"/>
          <w:sz w:val="18"/>
        </w:rPr>
        <w:t> </w:t>
      </w:r>
      <w:r>
        <w:rPr>
          <w:sz w:val="18"/>
        </w:rPr>
        <w:t>the</w:t>
      </w:r>
      <w:r>
        <w:rPr>
          <w:spacing w:val="-10"/>
          <w:sz w:val="18"/>
        </w:rPr>
        <w:t> </w:t>
      </w:r>
      <w:r>
        <w:rPr>
          <w:sz w:val="18"/>
        </w:rPr>
        <w:t>University</w:t>
      </w:r>
      <w:r>
        <w:rPr>
          <w:spacing w:val="-11"/>
          <w:sz w:val="18"/>
        </w:rPr>
        <w:t> </w:t>
      </w:r>
      <w:r>
        <w:rPr>
          <w:sz w:val="18"/>
        </w:rPr>
        <w:t>of</w:t>
      </w:r>
      <w:r>
        <w:rPr>
          <w:spacing w:val="-10"/>
          <w:sz w:val="18"/>
        </w:rPr>
        <w:t> </w:t>
      </w:r>
      <w:r>
        <w:rPr>
          <w:sz w:val="18"/>
        </w:rPr>
        <w:t>California-Davis</w:t>
      </w:r>
      <w:r>
        <w:rPr>
          <w:spacing w:val="-9"/>
          <w:sz w:val="18"/>
        </w:rPr>
        <w:t> </w:t>
      </w:r>
      <w:r>
        <w:rPr>
          <w:sz w:val="18"/>
        </w:rPr>
        <w:t>Census</w:t>
      </w:r>
      <w:r>
        <w:rPr>
          <w:spacing w:val="-10"/>
          <w:sz w:val="18"/>
        </w:rPr>
        <w:t> </w:t>
      </w:r>
      <w:r>
        <w:rPr>
          <w:sz w:val="18"/>
        </w:rPr>
        <w:t>Designated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Place.</w:t>
      </w:r>
    </w:p>
    <w:p>
      <w:pPr>
        <w:spacing w:line="352" w:lineRule="auto" w:before="95"/>
        <w:ind w:left="287" w:right="324" w:firstLine="0"/>
        <w:jc w:val="left"/>
        <w:rPr>
          <w:sz w:val="18"/>
        </w:rPr>
      </w:pPr>
      <w:bookmarkStart w:name="_bookmark2" w:id="3"/>
      <w:bookmarkEnd w:id="3"/>
      <w:r>
        <w:rPr/>
      </w:r>
      <w:r>
        <w:rPr>
          <w:position w:val="4"/>
          <w:sz w:val="12"/>
        </w:rPr>
        <w:t>3</w:t>
      </w:r>
      <w:r>
        <w:rPr>
          <w:spacing w:val="2"/>
          <w:position w:val="4"/>
          <w:sz w:val="12"/>
        </w:rPr>
        <w:t> </w:t>
      </w:r>
      <w:r>
        <w:rPr>
          <w:sz w:val="18"/>
        </w:rPr>
        <w:t>U.S.</w:t>
      </w:r>
      <w:r>
        <w:rPr>
          <w:spacing w:val="-11"/>
          <w:sz w:val="18"/>
        </w:rPr>
        <w:t> </w:t>
      </w:r>
      <w:r>
        <w:rPr>
          <w:sz w:val="18"/>
        </w:rPr>
        <w:t>Census</w:t>
      </w:r>
      <w:r>
        <w:rPr>
          <w:spacing w:val="-11"/>
          <w:sz w:val="18"/>
        </w:rPr>
        <w:t> </w:t>
      </w:r>
      <w:r>
        <w:rPr>
          <w:sz w:val="18"/>
        </w:rPr>
        <w:t>Bureau.</w:t>
      </w:r>
      <w:r>
        <w:rPr>
          <w:spacing w:val="-11"/>
          <w:sz w:val="18"/>
        </w:rPr>
        <w:t> </w:t>
      </w:r>
      <w:r>
        <w:rPr>
          <w:sz w:val="18"/>
        </w:rPr>
        <w:t>2020-2024</w:t>
      </w:r>
      <w:r>
        <w:rPr>
          <w:spacing w:val="-12"/>
          <w:sz w:val="18"/>
        </w:rPr>
        <w:t> </w:t>
      </w:r>
      <w:r>
        <w:rPr>
          <w:sz w:val="18"/>
        </w:rPr>
        <w:t>American</w:t>
      </w:r>
      <w:r>
        <w:rPr>
          <w:spacing w:val="-11"/>
          <w:sz w:val="18"/>
        </w:rPr>
        <w:t> </w:t>
      </w:r>
      <w:r>
        <w:rPr>
          <w:sz w:val="18"/>
        </w:rPr>
        <w:t>Community</w:t>
      </w:r>
      <w:r>
        <w:rPr>
          <w:spacing w:val="-11"/>
          <w:sz w:val="18"/>
        </w:rPr>
        <w:t> </w:t>
      </w:r>
      <w:r>
        <w:rPr>
          <w:sz w:val="18"/>
        </w:rPr>
        <w:t>Survey</w:t>
      </w:r>
      <w:r>
        <w:rPr>
          <w:spacing w:val="-11"/>
          <w:sz w:val="18"/>
        </w:rPr>
        <w:t> </w:t>
      </w:r>
      <w:r>
        <w:rPr>
          <w:sz w:val="18"/>
        </w:rPr>
        <w:t>5-Year</w:t>
      </w:r>
      <w:r>
        <w:rPr>
          <w:spacing w:val="-11"/>
          <w:sz w:val="18"/>
        </w:rPr>
        <w:t> </w:t>
      </w:r>
      <w:r>
        <w:rPr>
          <w:sz w:val="18"/>
        </w:rPr>
        <w:t>Estimates,</w:t>
      </w:r>
      <w:r>
        <w:rPr>
          <w:spacing w:val="-11"/>
          <w:sz w:val="18"/>
        </w:rPr>
        <w:t> </w:t>
      </w:r>
      <w:r>
        <w:rPr>
          <w:sz w:val="18"/>
        </w:rPr>
        <w:t>Table</w:t>
      </w:r>
      <w:r>
        <w:rPr>
          <w:spacing w:val="-12"/>
          <w:sz w:val="18"/>
        </w:rPr>
        <w:t> </w:t>
      </w:r>
      <w:r>
        <w:rPr>
          <w:sz w:val="18"/>
        </w:rPr>
        <w:t>B25024.</w:t>
      </w:r>
      <w:r>
        <w:rPr>
          <w:spacing w:val="-10"/>
          <w:sz w:val="18"/>
        </w:rPr>
        <w:t> </w:t>
      </w:r>
      <w:r>
        <w:rPr>
          <w:sz w:val="18"/>
        </w:rPr>
        <w:t>Retrieved</w:t>
      </w:r>
      <w:r>
        <w:rPr>
          <w:spacing w:val="-12"/>
          <w:sz w:val="18"/>
        </w:rPr>
        <w:t> </w:t>
      </w:r>
      <w:r>
        <w:rPr>
          <w:sz w:val="18"/>
        </w:rPr>
        <w:t>from: </w:t>
      </w:r>
      <w:hyperlink r:id="rId5">
        <w:r>
          <w:rPr>
            <w:color w:val="4B5E7B"/>
            <w:spacing w:val="-2"/>
            <w:sz w:val="18"/>
            <w:u w:val="single" w:color="4B5E7B"/>
          </w:rPr>
          <w:t>http://data.census.gov/</w:t>
        </w:r>
      </w:hyperlink>
    </w:p>
    <w:p>
      <w:pPr>
        <w:pStyle w:val="BodyText"/>
        <w:spacing w:before="125"/>
        <w:rPr>
          <w:sz w:val="18"/>
        </w:rPr>
      </w:pPr>
    </w:p>
    <w:p>
      <w:pPr>
        <w:tabs>
          <w:tab w:pos="2753" w:val="left" w:leader="none"/>
          <w:tab w:pos="4892" w:val="left" w:leader="none"/>
          <w:tab w:pos="6791" w:val="left" w:leader="none"/>
          <w:tab w:pos="8126" w:val="left" w:leader="none"/>
        </w:tabs>
        <w:spacing w:line="422" w:lineRule="auto" w:before="0"/>
        <w:ind w:left="4051" w:right="442" w:hanging="3460"/>
        <w:jc w:val="left"/>
        <w:rPr>
          <w:rFonts w:ascii="Trebuchet MS"/>
          <w:sz w:val="18"/>
        </w:rPr>
      </w:pPr>
      <w:r>
        <w:rPr>
          <w:rFonts w:ascii="Trebuchet MS"/>
          <w:color w:val="92D050"/>
          <w:sz w:val="18"/>
        </w:rPr>
        <w:t>Northern California</w:t>
        <w:tab/>
        <w:t>Southern California</w:t>
        <w:tab/>
        <w:t>Pacific Northwest</w:t>
        <w:tab/>
      </w:r>
      <w:r>
        <w:rPr>
          <w:rFonts w:ascii="Trebuchet MS"/>
          <w:color w:val="92D050"/>
          <w:spacing w:val="-2"/>
          <w:sz w:val="18"/>
        </w:rPr>
        <w:t>Mid-Atlantic</w:t>
      </w:r>
      <w:r>
        <w:rPr>
          <w:rFonts w:ascii="Trebuchet MS"/>
          <w:color w:val="92D050"/>
          <w:sz w:val="18"/>
        </w:rPr>
        <w:tab/>
      </w:r>
      <w:r>
        <w:rPr>
          <w:rFonts w:ascii="Trebuchet MS"/>
          <w:color w:val="92D050"/>
          <w:spacing w:val="-2"/>
          <w:sz w:val="18"/>
        </w:rPr>
        <w:t>Southeast </w:t>
      </w:r>
      <w:hyperlink r:id="rId6">
        <w:r>
          <w:rPr>
            <w:rFonts w:ascii="Trebuchet MS"/>
            <w:color w:val="A6A6A6"/>
            <w:spacing w:val="-2"/>
            <w:sz w:val="18"/>
          </w:rPr>
          <w:t>www.bae1.com</w:t>
        </w:r>
      </w:hyperlink>
    </w:p>
    <w:p>
      <w:pPr>
        <w:spacing w:after="0" w:line="422" w:lineRule="auto"/>
        <w:jc w:val="left"/>
        <w:rPr>
          <w:rFonts w:ascii="Trebuchet MS"/>
          <w:sz w:val="18"/>
        </w:rPr>
        <w:sectPr>
          <w:type w:val="continuous"/>
          <w:pgSz w:w="12240" w:h="15840"/>
          <w:pgMar w:top="360" w:bottom="280" w:left="1440" w:right="1440"/>
        </w:sectPr>
      </w:pPr>
    </w:p>
    <w:p>
      <w:pPr>
        <w:pStyle w:val="BodyText"/>
        <w:spacing w:line="288" w:lineRule="auto" w:before="78"/>
        <w:ind w:left="288" w:right="288" w:hanging="1"/>
      </w:pPr>
      <w:r>
        <w:rPr/>
        <w:t>market</w:t>
      </w:r>
      <w:r>
        <w:rPr>
          <w:spacing w:val="-14"/>
        </w:rPr>
        <w:t> </w:t>
      </w:r>
      <w:r>
        <w:rPr/>
        <w:t>rates,</w:t>
      </w:r>
      <w:r>
        <w:rPr>
          <w:spacing w:val="-14"/>
        </w:rPr>
        <w:t> </w:t>
      </w:r>
      <w:r>
        <w:rPr/>
        <w:t>five</w:t>
      </w:r>
      <w:r>
        <w:rPr>
          <w:spacing w:val="-14"/>
        </w:rPr>
        <w:t> </w:t>
      </w:r>
      <w:r>
        <w:rPr/>
        <w:t>reported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income</w:t>
      </w:r>
      <w:r>
        <w:rPr>
          <w:spacing w:val="-14"/>
        </w:rPr>
        <w:t> </w:t>
      </w:r>
      <w:r>
        <w:rPr/>
        <w:t>eligibility</w:t>
      </w:r>
      <w:r>
        <w:rPr>
          <w:spacing w:val="-14"/>
        </w:rPr>
        <w:t> </w:t>
      </w:r>
      <w:r>
        <w:rPr/>
        <w:t>standards</w:t>
      </w:r>
      <w:r>
        <w:rPr>
          <w:spacing w:val="-13"/>
        </w:rPr>
        <w:t> </w:t>
      </w:r>
      <w:r>
        <w:rPr/>
        <w:t>that</w:t>
      </w:r>
      <w:r>
        <w:rPr>
          <w:spacing w:val="-14"/>
        </w:rPr>
        <w:t> </w:t>
      </w:r>
      <w:r>
        <w:rPr/>
        <w:t>they</w:t>
      </w:r>
      <w:r>
        <w:rPr>
          <w:spacing w:val="-14"/>
        </w:rPr>
        <w:t> </w:t>
      </w:r>
      <w:r>
        <w:rPr/>
        <w:t>use</w:t>
      </w:r>
      <w:r>
        <w:rPr>
          <w:spacing w:val="-14"/>
        </w:rPr>
        <w:t> </w:t>
      </w:r>
      <w:r>
        <w:rPr/>
        <w:t>to</w:t>
      </w:r>
      <w:r>
        <w:rPr>
          <w:spacing w:val="-13"/>
        </w:rPr>
        <w:t> </w:t>
      </w:r>
      <w:r>
        <w:rPr/>
        <w:t>screen</w:t>
      </w:r>
      <w:r>
        <w:rPr>
          <w:spacing w:val="-14"/>
        </w:rPr>
        <w:t> </w:t>
      </w:r>
      <w:r>
        <w:rPr/>
        <w:t>prospective tenants. The 2025</w:t>
      </w:r>
      <w:r>
        <w:rPr>
          <w:spacing w:val="-1"/>
        </w:rPr>
        <w:t> </w:t>
      </w:r>
      <w:r>
        <w:rPr/>
        <w:t>survey results for</w:t>
      </w:r>
      <w:r>
        <w:rPr>
          <w:spacing w:val="-1"/>
        </w:rPr>
        <w:t> </w:t>
      </w:r>
      <w:r>
        <w:rPr/>
        <w:t>complexes with below market</w:t>
      </w:r>
      <w:r>
        <w:rPr>
          <w:spacing w:val="-1"/>
        </w:rPr>
        <w:t> </w:t>
      </w:r>
      <w:r>
        <w:rPr/>
        <w:t>rate</w:t>
      </w:r>
      <w:r>
        <w:rPr>
          <w:spacing w:val="-1"/>
        </w:rPr>
        <w:t> </w:t>
      </w:r>
      <w:r>
        <w:rPr/>
        <w:t>units are</w:t>
      </w:r>
      <w:r>
        <w:rPr>
          <w:spacing w:val="-1"/>
        </w:rPr>
        <w:t> </w:t>
      </w:r>
      <w:r>
        <w:rPr/>
        <w:t>consistent with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2024</w:t>
      </w:r>
      <w:r>
        <w:rPr>
          <w:spacing w:val="-2"/>
        </w:rPr>
        <w:t> </w:t>
      </w:r>
      <w:r>
        <w:rPr/>
        <w:t>results,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found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most</w:t>
      </w:r>
      <w:r>
        <w:rPr>
          <w:spacing w:val="-2"/>
        </w:rPr>
        <w:t> </w:t>
      </w:r>
      <w:r>
        <w:rPr/>
        <w:t>below market</w:t>
      </w:r>
      <w:r>
        <w:rPr>
          <w:spacing w:val="-2"/>
        </w:rPr>
        <w:t> </w:t>
      </w:r>
      <w:r>
        <w:rPr/>
        <w:t>rate units</w:t>
      </w:r>
      <w:r>
        <w:rPr>
          <w:spacing w:val="-1"/>
        </w:rPr>
        <w:t> </w:t>
      </w:r>
      <w:r>
        <w:rPr/>
        <w:t>were</w:t>
      </w:r>
      <w:r>
        <w:rPr>
          <w:spacing w:val="-2"/>
        </w:rPr>
        <w:t> </w:t>
      </w:r>
      <w:r>
        <w:rPr/>
        <w:t>rented</w:t>
      </w:r>
      <w:r>
        <w:rPr>
          <w:spacing w:val="-1"/>
        </w:rPr>
        <w:t> </w:t>
      </w:r>
      <w:r>
        <w:rPr/>
        <w:t>to households earning between 50 and 80 percent of the area median income (AMI). The remainder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this</w:t>
      </w:r>
      <w:r>
        <w:rPr>
          <w:spacing w:val="-6"/>
        </w:rPr>
        <w:t> </w:t>
      </w:r>
      <w:r>
        <w:rPr/>
        <w:t>analysis</w:t>
      </w:r>
      <w:r>
        <w:rPr>
          <w:spacing w:val="-5"/>
        </w:rPr>
        <w:t> </w:t>
      </w:r>
      <w:r>
        <w:rPr/>
        <w:t>excludes</w:t>
      </w:r>
      <w:r>
        <w:rPr>
          <w:spacing w:val="-6"/>
        </w:rPr>
        <w:t> </w:t>
      </w:r>
      <w:r>
        <w:rPr/>
        <w:t>units</w:t>
      </w:r>
      <w:r>
        <w:rPr>
          <w:spacing w:val="-6"/>
        </w:rPr>
        <w:t> </w:t>
      </w:r>
      <w:r>
        <w:rPr/>
        <w:t>rented</w:t>
      </w:r>
      <w:r>
        <w:rPr>
          <w:spacing w:val="-6"/>
        </w:rPr>
        <w:t> </w:t>
      </w:r>
      <w:r>
        <w:rPr/>
        <w:t>at</w:t>
      </w:r>
      <w:r>
        <w:rPr>
          <w:spacing w:val="-5"/>
        </w:rPr>
        <w:t> </w:t>
      </w:r>
      <w:r>
        <w:rPr/>
        <w:t>below</w:t>
      </w:r>
      <w:r>
        <w:rPr>
          <w:spacing w:val="-6"/>
        </w:rPr>
        <w:t> </w:t>
      </w:r>
      <w:r>
        <w:rPr/>
        <w:t>market</w:t>
      </w:r>
      <w:r>
        <w:rPr>
          <w:spacing w:val="-6"/>
        </w:rPr>
        <w:t> </w:t>
      </w:r>
      <w:r>
        <w:rPr/>
        <w:t>rents</w:t>
      </w:r>
      <w:r>
        <w:rPr>
          <w:spacing w:val="-6"/>
        </w:rPr>
        <w:t> </w:t>
      </w:r>
      <w:r>
        <w:rPr/>
        <w:t>but</w:t>
      </w:r>
      <w:r>
        <w:rPr>
          <w:spacing w:val="-6"/>
        </w:rPr>
        <w:t> </w:t>
      </w:r>
      <w:r>
        <w:rPr/>
        <w:t>does</w:t>
      </w:r>
      <w:r>
        <w:rPr>
          <w:spacing w:val="-6"/>
        </w:rPr>
        <w:t> </w:t>
      </w:r>
      <w:r>
        <w:rPr/>
        <w:t>include</w:t>
      </w:r>
      <w:r>
        <w:rPr>
          <w:spacing w:val="-5"/>
        </w:rPr>
        <w:t> </w:t>
      </w:r>
      <w:r>
        <w:rPr/>
        <w:t>units rented at market rates in mixed-income complexes.</w:t>
      </w:r>
    </w:p>
    <w:p>
      <w:pPr>
        <w:pStyle w:val="BodyText"/>
        <w:spacing w:before="54"/>
      </w:pPr>
    </w:p>
    <w:p>
      <w:pPr>
        <w:pStyle w:val="BodyText"/>
        <w:spacing w:line="288" w:lineRule="auto" w:before="1"/>
        <w:ind w:left="288" w:right="288"/>
      </w:pPr>
      <w:r>
        <w:rPr/>
        <w:t>While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survey respondents reported the</w:t>
      </w:r>
      <w:r>
        <w:rPr>
          <w:spacing w:val="-1"/>
        </w:rPr>
        <w:t> </w:t>
      </w:r>
      <w:r>
        <w:rPr/>
        <w:t>total</w:t>
      </w:r>
      <w:r>
        <w:rPr>
          <w:spacing w:val="-1"/>
        </w:rPr>
        <w:t> </w:t>
      </w:r>
      <w:r>
        <w:rPr/>
        <w:t>unit</w:t>
      </w:r>
      <w:r>
        <w:rPr>
          <w:spacing w:val="-1"/>
        </w:rPr>
        <w:t> </w:t>
      </w:r>
      <w:r>
        <w:rPr/>
        <w:t>numbers, not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respondents provided complete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regarding</w:t>
      </w:r>
      <w:r>
        <w:rPr>
          <w:spacing w:val="-2"/>
        </w:rPr>
        <w:t> </w:t>
      </w:r>
      <w:r>
        <w:rPr/>
        <w:t>other</w:t>
      </w:r>
      <w:r>
        <w:rPr>
          <w:spacing w:val="-1"/>
        </w:rPr>
        <w:t> </w:t>
      </w:r>
      <w:r>
        <w:rPr/>
        <w:t>unit</w:t>
      </w:r>
      <w:r>
        <w:rPr>
          <w:spacing w:val="-3"/>
        </w:rPr>
        <w:t> </w:t>
      </w:r>
      <w:r>
        <w:rPr/>
        <w:t>characteristics,</w:t>
      </w:r>
      <w:r>
        <w:rPr>
          <w:spacing w:val="-2"/>
        </w:rPr>
        <w:t> </w:t>
      </w:r>
      <w:r>
        <w:rPr/>
        <w:t>such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vacancy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rental</w:t>
      </w:r>
      <w:r>
        <w:rPr>
          <w:spacing w:val="-3"/>
        </w:rPr>
        <w:t> </w:t>
      </w:r>
      <w:r>
        <w:rPr/>
        <w:t>rate information,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mix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units</w:t>
      </w:r>
      <w:r>
        <w:rPr>
          <w:spacing w:val="-14"/>
        </w:rPr>
        <w:t> </w:t>
      </w:r>
      <w:r>
        <w:rPr/>
        <w:t>by</w:t>
      </w:r>
      <w:r>
        <w:rPr>
          <w:spacing w:val="-14"/>
        </w:rPr>
        <w:t> </w:t>
      </w:r>
      <w:r>
        <w:rPr/>
        <w:t>size,</w:t>
      </w:r>
      <w:r>
        <w:rPr>
          <w:spacing w:val="-14"/>
        </w:rPr>
        <w:t> </w:t>
      </w:r>
      <w:r>
        <w:rPr/>
        <w:t>or</w:t>
      </w:r>
      <w:r>
        <w:rPr>
          <w:spacing w:val="-13"/>
        </w:rPr>
        <w:t> </w:t>
      </w:r>
      <w:r>
        <w:rPr/>
        <w:t>amenities</w:t>
      </w:r>
      <w:r>
        <w:rPr>
          <w:spacing w:val="-14"/>
        </w:rPr>
        <w:t> </w:t>
      </w:r>
      <w:r>
        <w:rPr/>
        <w:t>provided</w:t>
      </w:r>
      <w:r>
        <w:rPr>
          <w:spacing w:val="-14"/>
        </w:rPr>
        <w:t> </w:t>
      </w:r>
      <w:r>
        <w:rPr/>
        <w:t>on-site.</w:t>
      </w:r>
      <w:r>
        <w:rPr>
          <w:spacing w:val="-14"/>
        </w:rPr>
        <w:t> </w:t>
      </w:r>
      <w:r>
        <w:rPr/>
        <w:t>Additionally,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total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all unit</w:t>
      </w:r>
      <w:r>
        <w:rPr>
          <w:spacing w:val="-1"/>
        </w:rPr>
        <w:t> </w:t>
      </w:r>
      <w:r>
        <w:rPr/>
        <w:t>sizes may not</w:t>
      </w:r>
      <w:r>
        <w:rPr>
          <w:spacing w:val="-1"/>
        </w:rPr>
        <w:t> </w:t>
      </w:r>
      <w:r>
        <w:rPr/>
        <w:t>equal the</w:t>
      </w:r>
      <w:r>
        <w:rPr>
          <w:spacing w:val="-1"/>
        </w:rPr>
        <w:t> </w:t>
      </w:r>
      <w:r>
        <w:rPr/>
        <w:t>reported total unit</w:t>
      </w:r>
      <w:r>
        <w:rPr>
          <w:spacing w:val="-1"/>
        </w:rPr>
        <w:t> </w:t>
      </w:r>
      <w:r>
        <w:rPr/>
        <w:t>count</w:t>
      </w:r>
      <w:r>
        <w:rPr>
          <w:spacing w:val="-1"/>
        </w:rPr>
        <w:t> </w:t>
      </w:r>
      <w:r>
        <w:rPr/>
        <w:t>due</w:t>
      </w:r>
      <w:r>
        <w:rPr>
          <w:spacing w:val="-1"/>
        </w:rPr>
        <w:t> </w:t>
      </w:r>
      <w:r>
        <w:rPr/>
        <w:t>to inconsistent reporting of managers’</w:t>
      </w:r>
      <w:r>
        <w:rPr>
          <w:spacing w:val="-10"/>
        </w:rPr>
        <w:t> </w:t>
      </w:r>
      <w:r>
        <w:rPr/>
        <w:t>units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other</w:t>
      </w:r>
      <w:r>
        <w:rPr>
          <w:spacing w:val="-11"/>
        </w:rPr>
        <w:t> </w:t>
      </w:r>
      <w:r>
        <w:rPr/>
        <w:t>similar</w:t>
      </w:r>
      <w:r>
        <w:rPr>
          <w:spacing w:val="-11"/>
        </w:rPr>
        <w:t> </w:t>
      </w:r>
      <w:r>
        <w:rPr/>
        <w:t>factors.</w:t>
      </w:r>
      <w:r>
        <w:rPr>
          <w:spacing w:val="-10"/>
        </w:rPr>
        <w:t> </w:t>
      </w:r>
      <w:r>
        <w:rPr/>
        <w:t>As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result,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unit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bed</w:t>
      </w:r>
      <w:r>
        <w:rPr>
          <w:spacing w:val="-10"/>
        </w:rPr>
        <w:t> </w:t>
      </w:r>
      <w:r>
        <w:rPr/>
        <w:t>lease</w:t>
      </w:r>
      <w:r>
        <w:rPr>
          <w:spacing w:val="-11"/>
        </w:rPr>
        <w:t> </w:t>
      </w:r>
      <w:r>
        <w:rPr/>
        <w:t>totals</w:t>
      </w:r>
      <w:r>
        <w:rPr>
          <w:spacing w:val="-10"/>
        </w:rPr>
        <w:t> </w:t>
      </w:r>
      <w:r>
        <w:rPr/>
        <w:t>discussed elsewhere in this report may not equal those reported above, in some cases.</w:t>
      </w:r>
    </w:p>
    <w:p>
      <w:pPr>
        <w:pStyle w:val="BodyText"/>
        <w:spacing w:before="45"/>
      </w:pPr>
    </w:p>
    <w:p>
      <w:pPr>
        <w:pStyle w:val="Heading1"/>
      </w:pPr>
      <w:bookmarkStart w:name="Leasing “Beds” Versus Complete Apartment" w:id="4"/>
      <w:bookmarkEnd w:id="4"/>
      <w:r>
        <w:rPr>
          <w:i w:val="0"/>
        </w:rPr>
      </w:r>
      <w:r>
        <w:rPr>
          <w:spacing w:val="9"/>
        </w:rPr>
        <w:t>Leasing</w:t>
      </w:r>
      <w:r>
        <w:rPr>
          <w:spacing w:val="2"/>
        </w:rPr>
        <w:t> </w:t>
      </w:r>
      <w:r>
        <w:rPr/>
        <w:t>“Beds”</w:t>
      </w:r>
      <w:r>
        <w:rPr>
          <w:spacing w:val="-4"/>
        </w:rPr>
        <w:t> </w:t>
      </w:r>
      <w:r>
        <w:rPr/>
        <w:t>Versus</w:t>
      </w:r>
      <w:r>
        <w:rPr>
          <w:spacing w:val="-1"/>
        </w:rPr>
        <w:t> </w:t>
      </w:r>
      <w:r>
        <w:rPr/>
        <w:t>Complete</w:t>
      </w:r>
      <w:r>
        <w:rPr>
          <w:spacing w:val="1"/>
        </w:rPr>
        <w:t> </w:t>
      </w:r>
      <w:r>
        <w:rPr>
          <w:spacing w:val="10"/>
        </w:rPr>
        <w:t>Apartment</w:t>
      </w:r>
      <w:r>
        <w:rPr/>
        <w:t> </w:t>
      </w:r>
      <w:r>
        <w:rPr>
          <w:spacing w:val="-4"/>
        </w:rPr>
        <w:t>Units</w:t>
      </w:r>
    </w:p>
    <w:p>
      <w:pPr>
        <w:pStyle w:val="BodyText"/>
        <w:spacing w:line="288" w:lineRule="auto" w:before="49"/>
        <w:ind w:left="287" w:right="288"/>
      </w:pPr>
      <w:r>
        <w:rPr/>
        <w:t>One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increasingly</w:t>
      </w:r>
      <w:r>
        <w:rPr>
          <w:spacing w:val="-5"/>
        </w:rPr>
        <w:t> </w:t>
      </w:r>
      <w:r>
        <w:rPr/>
        <w:t>common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complex</w:t>
      </w:r>
      <w:r>
        <w:rPr>
          <w:spacing w:val="-5"/>
        </w:rPr>
        <w:t> </w:t>
      </w:r>
      <w:r>
        <w:rPr/>
        <w:t>dynamics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local</w:t>
      </w:r>
      <w:r>
        <w:rPr>
          <w:spacing w:val="-5"/>
        </w:rPr>
        <w:t> </w:t>
      </w:r>
      <w:r>
        <w:rPr/>
        <w:t>rental</w:t>
      </w:r>
      <w:r>
        <w:rPr>
          <w:spacing w:val="-5"/>
        </w:rPr>
        <w:t> </w:t>
      </w:r>
      <w:r>
        <w:rPr/>
        <w:t>housing</w:t>
      </w:r>
      <w:r>
        <w:rPr>
          <w:spacing w:val="-5"/>
        </w:rPr>
        <w:t> </w:t>
      </w:r>
      <w:r>
        <w:rPr/>
        <w:t>market</w:t>
      </w:r>
      <w:r>
        <w:rPr>
          <w:spacing w:val="-6"/>
        </w:rPr>
        <w:t> </w:t>
      </w:r>
      <w:r>
        <w:rPr/>
        <w:t>is the</w:t>
      </w:r>
      <w:r>
        <w:rPr>
          <w:spacing w:val="-6"/>
        </w:rPr>
        <w:t> </w:t>
      </w:r>
      <w:r>
        <w:rPr/>
        <w:t>practice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renting</w:t>
      </w:r>
      <w:r>
        <w:rPr>
          <w:spacing w:val="-5"/>
        </w:rPr>
        <w:t> </w:t>
      </w:r>
      <w:r>
        <w:rPr/>
        <w:t>out</w:t>
      </w:r>
      <w:r>
        <w:rPr>
          <w:spacing w:val="-6"/>
        </w:rPr>
        <w:t> </w:t>
      </w:r>
      <w:r>
        <w:rPr/>
        <w:t>individual</w:t>
      </w:r>
      <w:r>
        <w:rPr>
          <w:spacing w:val="-5"/>
        </w:rPr>
        <w:t> </w:t>
      </w:r>
      <w:r>
        <w:rPr/>
        <w:t>apartment</w:t>
      </w:r>
      <w:r>
        <w:rPr>
          <w:spacing w:val="-6"/>
        </w:rPr>
        <w:t> </w:t>
      </w:r>
      <w:r>
        <w:rPr/>
        <w:t>units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multiple</w:t>
      </w:r>
      <w:r>
        <w:rPr>
          <w:spacing w:val="-4"/>
        </w:rPr>
        <w:t> </w:t>
      </w:r>
      <w:r>
        <w:rPr/>
        <w:t>tenants</w:t>
      </w:r>
      <w:r>
        <w:rPr>
          <w:spacing w:val="-5"/>
        </w:rPr>
        <w:t> </w:t>
      </w:r>
      <w:r>
        <w:rPr/>
        <w:t>using</w:t>
      </w:r>
      <w:r>
        <w:rPr>
          <w:spacing w:val="-5"/>
        </w:rPr>
        <w:t> </w:t>
      </w:r>
      <w:r>
        <w:rPr/>
        <w:t>multiple</w:t>
      </w:r>
      <w:r>
        <w:rPr>
          <w:spacing w:val="-6"/>
        </w:rPr>
        <w:t> </w:t>
      </w:r>
      <w:r>
        <w:rPr/>
        <w:t>lease agreements.</w:t>
      </w:r>
      <w:r>
        <w:rPr>
          <w:spacing w:val="-10"/>
        </w:rPr>
        <w:t> </w:t>
      </w:r>
      <w:r>
        <w:rPr/>
        <w:t>Under</w:t>
      </w:r>
      <w:r>
        <w:rPr>
          <w:spacing w:val="-11"/>
        </w:rPr>
        <w:t> </w:t>
      </w:r>
      <w:r>
        <w:rPr/>
        <w:t>this</w:t>
      </w:r>
      <w:r>
        <w:rPr>
          <w:spacing w:val="-9"/>
        </w:rPr>
        <w:t> </w:t>
      </w:r>
      <w:r>
        <w:rPr/>
        <w:t>type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arrangement,</w:t>
      </w:r>
      <w:r>
        <w:rPr>
          <w:spacing w:val="-10"/>
        </w:rPr>
        <w:t> </w:t>
      </w:r>
      <w:r>
        <w:rPr/>
        <w:t>known</w:t>
      </w:r>
      <w:r>
        <w:rPr>
          <w:spacing w:val="-11"/>
        </w:rPr>
        <w:t> </w:t>
      </w:r>
      <w:r>
        <w:rPr/>
        <w:t>as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“bed</w:t>
      </w:r>
      <w:r>
        <w:rPr>
          <w:spacing w:val="-10"/>
        </w:rPr>
        <w:t> </w:t>
      </w:r>
      <w:r>
        <w:rPr/>
        <w:t>lease,”</w:t>
      </w:r>
      <w:r>
        <w:rPr>
          <w:spacing w:val="-11"/>
        </w:rPr>
        <w:t> </w:t>
      </w:r>
      <w:r>
        <w:rPr/>
        <w:t>each</w:t>
      </w:r>
      <w:r>
        <w:rPr>
          <w:spacing w:val="-9"/>
        </w:rPr>
        <w:t> </w:t>
      </w:r>
      <w:r>
        <w:rPr/>
        <w:t>bed</w:t>
      </w:r>
      <w:r>
        <w:rPr>
          <w:spacing w:val="-10"/>
        </w:rPr>
        <w:t> </w:t>
      </w:r>
      <w:r>
        <w:rPr/>
        <w:t>or</w:t>
      </w:r>
      <w:r>
        <w:rPr>
          <w:spacing w:val="-11"/>
        </w:rPr>
        <w:t> </w:t>
      </w:r>
      <w:r>
        <w:rPr/>
        <w:t>bedroom</w:t>
      </w:r>
      <w:r>
        <w:rPr>
          <w:spacing w:val="-10"/>
        </w:rPr>
        <w:t> </w:t>
      </w:r>
      <w:r>
        <w:rPr/>
        <w:t>in an</w:t>
      </w:r>
      <w:r>
        <w:rPr>
          <w:spacing w:val="-1"/>
        </w:rPr>
        <w:t> </w:t>
      </w:r>
      <w:r>
        <w:rPr/>
        <w:t>apartment</w:t>
      </w:r>
      <w:r>
        <w:rPr>
          <w:spacing w:val="-1"/>
        </w:rPr>
        <w:t> </w:t>
      </w:r>
      <w:r>
        <w:rPr/>
        <w:t>is associated with a separate</w:t>
      </w:r>
      <w:r>
        <w:rPr>
          <w:spacing w:val="-1"/>
        </w:rPr>
        <w:t> </w:t>
      </w:r>
      <w:r>
        <w:rPr/>
        <w:t>lease</w:t>
      </w:r>
      <w:r>
        <w:rPr>
          <w:spacing w:val="-1"/>
        </w:rPr>
        <w:t> </w:t>
      </w:r>
      <w:r>
        <w:rPr/>
        <w:t>agreement. Each resident is thereby contractually</w:t>
      </w:r>
      <w:r>
        <w:rPr>
          <w:spacing w:val="-1"/>
        </w:rPr>
        <w:t> </w:t>
      </w:r>
      <w:r>
        <w:rPr/>
        <w:t>responsible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only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portion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total</w:t>
      </w:r>
      <w:r>
        <w:rPr>
          <w:spacing w:val="-2"/>
        </w:rPr>
        <w:t> </w:t>
      </w:r>
      <w:r>
        <w:rPr/>
        <w:t>rent.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compared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more conventional</w:t>
      </w:r>
      <w:r>
        <w:rPr>
          <w:spacing w:val="-9"/>
        </w:rPr>
        <w:t> </w:t>
      </w:r>
      <w:r>
        <w:rPr/>
        <w:t>approach,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which</w:t>
      </w:r>
      <w:r>
        <w:rPr>
          <w:spacing w:val="-9"/>
        </w:rPr>
        <w:t> </w:t>
      </w:r>
      <w:r>
        <w:rPr/>
        <w:t>each</w:t>
      </w:r>
      <w:r>
        <w:rPr>
          <w:spacing w:val="-9"/>
        </w:rPr>
        <w:t> </w:t>
      </w:r>
      <w:r>
        <w:rPr/>
        <w:t>unit</w:t>
      </w:r>
      <w:r>
        <w:rPr>
          <w:spacing w:val="-10"/>
        </w:rPr>
        <w:t> </w:t>
      </w:r>
      <w:r>
        <w:rPr/>
        <w:t>is</w:t>
      </w:r>
      <w:r>
        <w:rPr>
          <w:spacing w:val="-9"/>
        </w:rPr>
        <w:t> </w:t>
      </w:r>
      <w:r>
        <w:rPr/>
        <w:t>rented</w:t>
      </w:r>
      <w:r>
        <w:rPr>
          <w:spacing w:val="-9"/>
        </w:rPr>
        <w:t> </w:t>
      </w:r>
      <w:r>
        <w:rPr/>
        <w:t>under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single</w:t>
      </w:r>
      <w:r>
        <w:rPr>
          <w:spacing w:val="-10"/>
        </w:rPr>
        <w:t> </w:t>
      </w:r>
      <w:r>
        <w:rPr/>
        <w:t>lease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all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tenants living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unit</w:t>
      </w:r>
      <w:r>
        <w:rPr>
          <w:spacing w:val="-3"/>
        </w:rPr>
        <w:t> </w:t>
      </w:r>
      <w:r>
        <w:rPr/>
        <w:t>sign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lease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jointly</w:t>
      </w:r>
      <w:r>
        <w:rPr>
          <w:spacing w:val="-2"/>
        </w:rPr>
        <w:t> </w:t>
      </w:r>
      <w:r>
        <w:rPr/>
        <w:t>responsible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complete</w:t>
      </w:r>
      <w:r>
        <w:rPr>
          <w:spacing w:val="-1"/>
        </w:rPr>
        <w:t> </w:t>
      </w:r>
      <w:r>
        <w:rPr/>
        <w:t>monthly</w:t>
      </w:r>
      <w:r>
        <w:rPr>
          <w:spacing w:val="-1"/>
        </w:rPr>
        <w:t> </w:t>
      </w:r>
      <w:r>
        <w:rPr/>
        <w:t>rent payment. For the purposes of this survey, this arrangement is called a “unit lease.”</w:t>
      </w:r>
    </w:p>
    <w:p>
      <w:pPr>
        <w:pStyle w:val="BodyText"/>
        <w:spacing w:before="46"/>
      </w:pPr>
    </w:p>
    <w:p>
      <w:pPr>
        <w:pStyle w:val="Heading1"/>
      </w:pPr>
      <w:bookmarkStart w:name="Unit Leases" w:id="5"/>
      <w:bookmarkEnd w:id="5"/>
      <w:r>
        <w:rPr>
          <w:i w:val="0"/>
        </w:rPr>
      </w:r>
      <w:r>
        <w:rPr/>
        <w:t>Unit</w:t>
      </w:r>
      <w:r>
        <w:rPr>
          <w:spacing w:val="24"/>
        </w:rPr>
        <w:t> </w:t>
      </w:r>
      <w:r>
        <w:rPr>
          <w:spacing w:val="-2"/>
        </w:rPr>
        <w:t>Leases</w:t>
      </w:r>
    </w:p>
    <w:p>
      <w:pPr>
        <w:pStyle w:val="BodyText"/>
        <w:spacing w:line="288" w:lineRule="auto" w:before="49"/>
        <w:ind w:left="287" w:right="324"/>
      </w:pPr>
      <w:r>
        <w:rPr/>
        <w:t>Survey respondents provided unit size detail for 6,705 units that are rented under unit lease arrangements,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account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</w:t>
      </w:r>
      <w:r>
        <w:rPr/>
        <w:t>65</w:t>
      </w:r>
      <w:r>
        <w:rPr>
          <w:spacing w:val="-1"/>
        </w:rPr>
        <w:t> </w:t>
      </w:r>
      <w:r>
        <w:rPr/>
        <w:t>percent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all</w:t>
      </w:r>
      <w:r>
        <w:rPr>
          <w:spacing w:val="-2"/>
        </w:rPr>
        <w:t> </w:t>
      </w:r>
      <w:r>
        <w:rPr/>
        <w:t>reported</w:t>
      </w:r>
      <w:r>
        <w:rPr>
          <w:spacing w:val="-1"/>
        </w:rPr>
        <w:t> </w:t>
      </w:r>
      <w:r>
        <w:rPr/>
        <w:t>market-rate</w:t>
      </w:r>
      <w:r>
        <w:rPr>
          <w:spacing w:val="-2"/>
        </w:rPr>
        <w:t> </w:t>
      </w:r>
      <w:r>
        <w:rPr/>
        <w:t>rental</w:t>
      </w:r>
      <w:r>
        <w:rPr>
          <w:spacing w:val="-1"/>
        </w:rPr>
        <w:t> </w:t>
      </w:r>
      <w:r>
        <w:rPr/>
        <w:t>units. Note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 survey results reported below exclude units for</w:t>
      </w:r>
      <w:r>
        <w:rPr>
          <w:spacing w:val="-1"/>
        </w:rPr>
        <w:t> </w:t>
      </w:r>
      <w:r>
        <w:rPr/>
        <w:t>which unit</w:t>
      </w:r>
      <w:r>
        <w:rPr>
          <w:spacing w:val="-1"/>
        </w:rPr>
        <w:t> </w:t>
      </w:r>
      <w:r>
        <w:rPr/>
        <w:t>size</w:t>
      </w:r>
      <w:r>
        <w:rPr>
          <w:spacing w:val="-1"/>
        </w:rPr>
        <w:t> </w:t>
      </w:r>
      <w:r>
        <w:rPr/>
        <w:t>detail was not provided.</w:t>
      </w:r>
      <w:r>
        <w:rPr>
          <w:spacing w:val="-16"/>
        </w:rPr>
        <w:t> </w:t>
      </w:r>
      <w:r>
        <w:rPr/>
        <w:t>Figure</w:t>
      </w:r>
      <w:r>
        <w:rPr>
          <w:spacing w:val="-14"/>
        </w:rPr>
        <w:t> </w:t>
      </w:r>
      <w:r>
        <w:rPr/>
        <w:t>1,</w:t>
      </w:r>
      <w:r>
        <w:rPr>
          <w:spacing w:val="-14"/>
        </w:rPr>
        <w:t> </w:t>
      </w:r>
      <w:r>
        <w:rPr/>
        <w:t>on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following</w:t>
      </w:r>
      <w:r>
        <w:rPr>
          <w:spacing w:val="-14"/>
        </w:rPr>
        <w:t> </w:t>
      </w:r>
      <w:r>
        <w:rPr/>
        <w:t>page,</w:t>
      </w:r>
      <w:r>
        <w:rPr>
          <w:spacing w:val="-14"/>
        </w:rPr>
        <w:t> </w:t>
      </w:r>
      <w:r>
        <w:rPr/>
        <w:t>illustrates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distribution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unit-leased</w:t>
      </w:r>
      <w:r>
        <w:rPr>
          <w:spacing w:val="-13"/>
        </w:rPr>
        <w:t> </w:t>
      </w:r>
      <w:r>
        <w:rPr/>
        <w:t>apartments, by unit</w:t>
      </w:r>
      <w:r>
        <w:rPr>
          <w:spacing w:val="-1"/>
        </w:rPr>
        <w:t> </w:t>
      </w:r>
      <w:r>
        <w:rPr/>
        <w:t>size. The</w:t>
      </w:r>
      <w:r>
        <w:rPr>
          <w:spacing w:val="-1"/>
        </w:rPr>
        <w:t> </w:t>
      </w:r>
      <w:r>
        <w:rPr/>
        <w:t>majority of reported units had between</w:t>
      </w:r>
      <w:r>
        <w:rPr>
          <w:spacing w:val="-1"/>
        </w:rPr>
        <w:t> </w:t>
      </w:r>
      <w:r>
        <w:rPr/>
        <w:t>one</w:t>
      </w:r>
      <w:r>
        <w:rPr>
          <w:spacing w:val="-1"/>
        </w:rPr>
        <w:t> </w:t>
      </w:r>
      <w:r>
        <w:rPr/>
        <w:t>and three bedrooms. One-bedroom</w:t>
      </w:r>
      <w:r>
        <w:rPr>
          <w:spacing w:val="-1"/>
        </w:rPr>
        <w:t> </w:t>
      </w:r>
      <w:r>
        <w:rPr/>
        <w:t>units</w:t>
      </w:r>
      <w:r>
        <w:rPr>
          <w:spacing w:val="-1"/>
        </w:rPr>
        <w:t> </w:t>
      </w:r>
      <w:r>
        <w:rPr/>
        <w:t>accounted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35</w:t>
      </w:r>
      <w:r>
        <w:rPr>
          <w:spacing w:val="-1"/>
        </w:rPr>
        <w:t> </w:t>
      </w:r>
      <w:r>
        <w:rPr/>
        <w:t>percent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 total,</w:t>
      </w:r>
      <w:r>
        <w:rPr>
          <w:spacing w:val="-1"/>
        </w:rPr>
        <w:t> </w:t>
      </w:r>
      <w:r>
        <w:rPr/>
        <w:t>while</w:t>
      </w:r>
      <w:r>
        <w:rPr>
          <w:spacing w:val="-2"/>
        </w:rPr>
        <w:t> </w:t>
      </w:r>
      <w:r>
        <w:rPr/>
        <w:t>two-bedroom</w:t>
      </w:r>
      <w:r>
        <w:rPr>
          <w:spacing w:val="-1"/>
        </w:rPr>
        <w:t> </w:t>
      </w:r>
      <w:r>
        <w:rPr/>
        <w:t>units accounted</w:t>
      </w:r>
      <w:r>
        <w:rPr>
          <w:spacing w:val="-1"/>
        </w:rPr>
        <w:t> </w:t>
      </w:r>
      <w:r>
        <w:rPr/>
        <w:t>for 45</w:t>
      </w:r>
      <w:r>
        <w:rPr>
          <w:spacing w:val="-2"/>
        </w:rPr>
        <w:t> </w:t>
      </w:r>
      <w:r>
        <w:rPr/>
        <w:t>percent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three-bedroom</w:t>
      </w:r>
      <w:r>
        <w:rPr>
          <w:spacing w:val="-1"/>
        </w:rPr>
        <w:t> </w:t>
      </w:r>
      <w:r>
        <w:rPr/>
        <w:t>units</w:t>
      </w:r>
      <w:r>
        <w:rPr>
          <w:spacing w:val="-1"/>
        </w:rPr>
        <w:t> </w:t>
      </w:r>
      <w:r>
        <w:rPr/>
        <w:t>represented</w:t>
      </w:r>
      <w:r>
        <w:rPr>
          <w:spacing w:val="-1"/>
        </w:rPr>
        <w:t> </w:t>
      </w:r>
      <w:r>
        <w:rPr/>
        <w:t>12</w:t>
      </w:r>
      <w:r>
        <w:rPr>
          <w:spacing w:val="-1"/>
        </w:rPr>
        <w:t> </w:t>
      </w:r>
      <w:r>
        <w:rPr/>
        <w:t>percent. Apartments with</w:t>
      </w:r>
      <w:r>
        <w:rPr>
          <w:spacing w:val="-1"/>
        </w:rPr>
        <w:t> </w:t>
      </w:r>
      <w:r>
        <w:rPr/>
        <w:t>four</w:t>
      </w:r>
      <w:r>
        <w:rPr>
          <w:spacing w:val="-2"/>
        </w:rPr>
        <w:t> </w:t>
      </w:r>
      <w:r>
        <w:rPr/>
        <w:t>or more bedrooms</w:t>
      </w:r>
      <w:r>
        <w:rPr>
          <w:spacing w:val="-6"/>
        </w:rPr>
        <w:t> </w:t>
      </w:r>
      <w:r>
        <w:rPr/>
        <w:t>represented</w:t>
      </w:r>
      <w:r>
        <w:rPr>
          <w:spacing w:val="-6"/>
        </w:rPr>
        <w:t> </w:t>
      </w:r>
      <w:r>
        <w:rPr/>
        <w:t>four</w:t>
      </w:r>
      <w:r>
        <w:rPr>
          <w:spacing w:val="-6"/>
        </w:rPr>
        <w:t> </w:t>
      </w:r>
      <w:r>
        <w:rPr/>
        <w:t>percent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reported</w:t>
      </w:r>
      <w:r>
        <w:rPr>
          <w:spacing w:val="-6"/>
        </w:rPr>
        <w:t> </w:t>
      </w:r>
      <w:r>
        <w:rPr/>
        <w:t>units,</w:t>
      </w:r>
      <w:r>
        <w:rPr>
          <w:spacing w:val="-6"/>
        </w:rPr>
        <w:t> </w:t>
      </w:r>
      <w:r>
        <w:rPr/>
        <w:t>while</w:t>
      </w:r>
      <w:r>
        <w:rPr>
          <w:spacing w:val="-7"/>
        </w:rPr>
        <w:t> </w:t>
      </w:r>
      <w:r>
        <w:rPr/>
        <w:t>studio</w:t>
      </w:r>
      <w:r>
        <w:rPr>
          <w:spacing w:val="-6"/>
        </w:rPr>
        <w:t> </w:t>
      </w:r>
      <w:r>
        <w:rPr/>
        <w:t>units</w:t>
      </w:r>
      <w:r>
        <w:rPr>
          <w:spacing w:val="-6"/>
        </w:rPr>
        <w:t> </w:t>
      </w:r>
      <w:r>
        <w:rPr/>
        <w:t>also</w:t>
      </w:r>
      <w:r>
        <w:rPr>
          <w:spacing w:val="-6"/>
        </w:rPr>
        <w:t> </w:t>
      </w:r>
      <w:r>
        <w:rPr/>
        <w:t>represented</w:t>
      </w:r>
      <w:r>
        <w:rPr>
          <w:spacing w:val="-5"/>
        </w:rPr>
        <w:t> </w:t>
      </w:r>
      <w:r>
        <w:rPr/>
        <w:t>four percent. This distribution is roughly comparable to the results of the 2024 survey.</w:t>
      </w:r>
    </w:p>
    <w:p>
      <w:pPr>
        <w:pStyle w:val="BodyText"/>
        <w:spacing w:after="0" w:line="288" w:lineRule="auto"/>
        <w:sectPr>
          <w:footerReference w:type="default" r:id="rId7"/>
          <w:pgSz w:w="12240" w:h="15840"/>
          <w:pgMar w:header="0" w:footer="794" w:top="1700" w:bottom="980" w:left="1440" w:right="1440"/>
          <w:pgNumType w:start="2"/>
        </w:sectPr>
      </w:pPr>
    </w:p>
    <w:p>
      <w:pPr>
        <w:spacing w:before="78"/>
        <w:ind w:left="288" w:right="0" w:firstLine="0"/>
        <w:jc w:val="left"/>
        <w:rPr>
          <w:i/>
          <w:sz w:val="22"/>
        </w:rPr>
      </w:pPr>
      <w:bookmarkStart w:name="Figure 1:  Distribution of Unit Leases b" w:id="6"/>
      <w:bookmarkEnd w:id="6"/>
      <w:r>
        <w:rPr/>
      </w:r>
      <w:r>
        <w:rPr>
          <w:i/>
          <w:sz w:val="22"/>
        </w:rPr>
        <w:t>Figure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1:</w:t>
      </w:r>
      <w:r>
        <w:rPr>
          <w:i/>
          <w:spacing w:val="42"/>
          <w:sz w:val="22"/>
        </w:rPr>
        <w:t> </w:t>
      </w:r>
      <w:r>
        <w:rPr>
          <w:i/>
          <w:sz w:val="22"/>
        </w:rPr>
        <w:t>Distribution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Leases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7"/>
          <w:sz w:val="22"/>
        </w:rPr>
        <w:t> </w:t>
      </w:r>
      <w:r>
        <w:rPr>
          <w:i/>
          <w:spacing w:val="-4"/>
          <w:sz w:val="22"/>
        </w:rPr>
        <w:t>Size</w:t>
      </w:r>
    </w:p>
    <w:p>
      <w:pPr>
        <w:tabs>
          <w:tab w:pos="909" w:val="left" w:leader="none"/>
        </w:tabs>
        <w:spacing w:before="184"/>
        <w:ind w:left="0" w:right="1487" w:firstLine="0"/>
        <w:jc w:val="center"/>
        <w:rPr>
          <w:rFonts w:ascii="Calibri"/>
          <w:b/>
          <w:position w:val="-1"/>
          <w:sz w:val="18"/>
        </w:rPr>
      </w:pPr>
      <w:r>
        <w:rPr>
          <w:rFonts w:ascii="Calibri"/>
          <w:b/>
          <w:position w:val="-1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212608">
                <wp:simplePos x="0" y="0"/>
                <wp:positionH relativeFrom="page">
                  <wp:posOffset>2049777</wp:posOffset>
                </wp:positionH>
                <wp:positionV relativeFrom="paragraph">
                  <wp:posOffset>235055</wp:posOffset>
                </wp:positionV>
                <wp:extent cx="2670175" cy="25654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670175" cy="2565400"/>
                          <a:chExt cx="2670175" cy="256540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1978" y="0"/>
                            <a:ext cx="422147" cy="13388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1978" y="47243"/>
                            <a:ext cx="1338071" cy="22654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440" y="550164"/>
                            <a:ext cx="2130551" cy="20147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610" y="37337"/>
                            <a:ext cx="1121663" cy="13014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8702" y="0"/>
                            <a:ext cx="385571" cy="13388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0840" y="16764"/>
                            <a:ext cx="344423" cy="12595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0840" y="63245"/>
                            <a:ext cx="1260347" cy="2187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064" y="566165"/>
                            <a:ext cx="2052065" cy="19659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234" y="53340"/>
                            <a:ext cx="1042415" cy="12230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7564" y="16764"/>
                            <a:ext cx="307085" cy="12595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49068" y="243847"/>
                            <a:ext cx="20574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" h="10160">
                                <a:moveTo>
                                  <a:pt x="205574" y="0"/>
                                </a:moveTo>
                                <a:lnTo>
                                  <a:pt x="56896" y="9893"/>
                                </a:lnTo>
                                <a:lnTo>
                                  <a:pt x="0" y="9893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168196"/>
                            <a:ext cx="44323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z w:val="18"/>
                                </w:rPr>
                                <w:t>779;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5"/>
                                  <w:sz w:val="18"/>
                                </w:rPr>
                                <w:t>12%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036826" y="1057907"/>
                            <a:ext cx="53086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z w:val="18"/>
                                </w:rPr>
                                <w:t>2,331;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5"/>
                                  <w:sz w:val="18"/>
                                </w:rPr>
                                <w:t>35%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98564" y="1791370"/>
                            <a:ext cx="53086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z w:val="18"/>
                                </w:rPr>
                                <w:t>3,042;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5"/>
                                  <w:sz w:val="18"/>
                                </w:rPr>
                                <w:t>45%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1.399796pt;margin-top:18.508326pt;width:210.25pt;height:202pt;mso-position-horizontal-relative:page;mso-position-vertical-relative:paragraph;z-index:-17103872" id="docshapegroup3" coordorigin="3228,370" coordsize="4205,4040">
                <v:shape style="position:absolute;left:5325;top:370;width:665;height:2109" type="#_x0000_t75" id="docshape4" stroked="false">
                  <v:imagedata r:id="rId8" o:title=""/>
                </v:shape>
                <v:shape style="position:absolute;left:5325;top:444;width:2108;height:3568" type="#_x0000_t75" id="docshape5" stroked="false">
                  <v:imagedata r:id="rId9" o:title=""/>
                </v:shape>
                <v:shape style="position:absolute;left:3346;top:1236;width:3356;height:3173" type="#_x0000_t75" id="docshape6" stroked="false">
                  <v:imagedata r:id="rId10" o:title=""/>
                </v:shape>
                <v:shape style="position:absolute;left:3688;top:428;width:1767;height:2050" type="#_x0000_t75" id="docshape7" stroked="false">
                  <v:imagedata r:id="rId11" o:title=""/>
                </v:shape>
                <v:shape style="position:absolute;left:4848;top:370;width:608;height:2109" type="#_x0000_t75" id="docshape8" stroked="false">
                  <v:imagedata r:id="rId12" o:title=""/>
                </v:shape>
                <v:shape style="position:absolute;left:5386;top:396;width:543;height:1984" type="#_x0000_t75" id="docshape9" stroked="false">
                  <v:imagedata r:id="rId13" o:title=""/>
                </v:shape>
                <v:shape style="position:absolute;left:5386;top:469;width:1985;height:3446" type="#_x0000_t75" id="docshape10" stroked="false">
                  <v:imagedata r:id="rId14" o:title=""/>
                </v:shape>
                <v:shape style="position:absolute;left:3409;top:1261;width:3232;height:3096" type="#_x0000_t75" id="docshape11" stroked="false">
                  <v:imagedata r:id="rId15" o:title=""/>
                </v:shape>
                <v:shape style="position:absolute;left:3751;top:454;width:1642;height:1926" type="#_x0000_t75" id="docshape12" stroked="false">
                  <v:imagedata r:id="rId16" o:title=""/>
                </v:shape>
                <v:shape style="position:absolute;left:4909;top:396;width:484;height:1984" type="#_x0000_t75" id="docshape13" stroked="false">
                  <v:imagedata r:id="rId17" o:title=""/>
                </v:shape>
                <v:shape style="position:absolute;left:3935;top:754;width:324;height:16" id="docshape14" coordorigin="3935,754" coordsize="324,16" path="m4259,754l4025,770,3935,770e" filled="false" stroked="true" strokeweight=".75pt" strokecolor="#a6a6a6">
                  <v:path arrowok="t"/>
                  <v:stroke dashstyle="solid"/>
                </v:shape>
                <v:shape style="position:absolute;left:3228;top:635;width:698;height:180" type="#_x0000_t202" id="docshape1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404040"/>
                            <w:sz w:val="18"/>
                          </w:rPr>
                          <w:t>779;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pacing w:val="-5"/>
                            <w:sz w:val="18"/>
                          </w:rPr>
                          <w:t>12%</w:t>
                        </w:r>
                      </w:p>
                    </w:txbxContent>
                  </v:textbox>
                  <w10:wrap type="none"/>
                </v:shape>
                <v:shape style="position:absolute;left:6435;top:2036;width:836;height:180" type="#_x0000_t202" id="docshape1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404040"/>
                            <w:sz w:val="18"/>
                          </w:rPr>
                          <w:t>2,331;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pacing w:val="-5"/>
                            <w:sz w:val="18"/>
                          </w:rPr>
                          <w:t>35%</w:t>
                        </w:r>
                      </w:p>
                    </w:txbxContent>
                  </v:textbox>
                  <w10:wrap type="none"/>
                </v:shape>
                <v:shape style="position:absolute;left:3855;top:3191;width:836;height:180" type="#_x0000_t202" id="docshape1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404040"/>
                            <w:sz w:val="18"/>
                          </w:rPr>
                          <w:t>3,042;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pacing w:val="-5"/>
                            <w:sz w:val="18"/>
                          </w:rPr>
                          <w:t>45%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b/>
          <w:color w:val="404040"/>
          <w:sz w:val="18"/>
        </w:rPr>
        <w:t>260;</w:t>
      </w:r>
      <w:r>
        <w:rPr>
          <w:rFonts w:ascii="Calibri"/>
          <w:b/>
          <w:color w:val="404040"/>
          <w:spacing w:val="-2"/>
          <w:sz w:val="18"/>
        </w:rPr>
        <w:t> </w:t>
      </w:r>
      <w:r>
        <w:rPr>
          <w:rFonts w:ascii="Calibri"/>
          <w:b/>
          <w:color w:val="404040"/>
          <w:spacing w:val="-5"/>
          <w:sz w:val="18"/>
        </w:rPr>
        <w:t>4%</w:t>
      </w:r>
      <w:r>
        <w:rPr>
          <w:rFonts w:ascii="Calibri"/>
          <w:b/>
          <w:color w:val="404040"/>
          <w:sz w:val="18"/>
        </w:rPr>
        <w:tab/>
      </w:r>
      <w:r>
        <w:rPr>
          <w:rFonts w:ascii="Calibri"/>
          <w:b/>
          <w:color w:val="404040"/>
          <w:position w:val="-1"/>
          <w:sz w:val="18"/>
        </w:rPr>
        <w:t>293;</w:t>
      </w:r>
      <w:r>
        <w:rPr>
          <w:rFonts w:ascii="Calibri"/>
          <w:b/>
          <w:color w:val="404040"/>
          <w:spacing w:val="-2"/>
          <w:position w:val="-1"/>
          <w:sz w:val="18"/>
        </w:rPr>
        <w:t> </w:t>
      </w:r>
      <w:r>
        <w:rPr>
          <w:rFonts w:ascii="Calibri"/>
          <w:b/>
          <w:color w:val="404040"/>
          <w:spacing w:val="-5"/>
          <w:position w:val="-1"/>
          <w:sz w:val="18"/>
        </w:rPr>
        <w:t>4%</w:t>
      </w: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spacing w:before="26"/>
        <w:rPr>
          <w:rFonts w:ascii="Calibri"/>
          <w:b/>
          <w:sz w:val="18"/>
        </w:rPr>
      </w:pPr>
    </w:p>
    <w:p>
      <w:pPr>
        <w:spacing w:before="0"/>
        <w:ind w:left="0" w:right="2284" w:firstLine="0"/>
        <w:jc w:val="right"/>
        <w:rPr>
          <w:rFonts w:ascii="Calibri"/>
          <w:sz w:val="18"/>
        </w:rPr>
      </w:pPr>
      <w:r>
        <w:rPr/>
        <w:drawing>
          <wp:inline distT="0" distB="0" distL="0" distR="0">
            <wp:extent cx="66293" cy="67055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3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3"/>
          <w:sz w:val="20"/>
        </w:rPr>
        <w:t> </w:t>
      </w:r>
      <w:r>
        <w:rPr>
          <w:rFonts w:ascii="Calibri"/>
          <w:color w:val="585858"/>
          <w:sz w:val="18"/>
        </w:rPr>
        <w:t>Studio</w:t>
      </w:r>
    </w:p>
    <w:p>
      <w:pPr>
        <w:spacing w:before="208"/>
        <w:ind w:left="0" w:right="1941" w:firstLine="0"/>
        <w:jc w:val="right"/>
        <w:rPr>
          <w:rFonts w:ascii="Calibri"/>
          <w:sz w:val="18"/>
        </w:rPr>
      </w:pPr>
      <w:r>
        <w:rPr/>
        <w:drawing>
          <wp:inline distT="0" distB="0" distL="0" distR="0">
            <wp:extent cx="66293" cy="67043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3" cy="67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2"/>
          <w:sz w:val="20"/>
        </w:rPr>
        <w:t> </w:t>
      </w:r>
      <w:r>
        <w:rPr>
          <w:rFonts w:ascii="Calibri"/>
          <w:color w:val="585858"/>
          <w:sz w:val="18"/>
        </w:rPr>
        <w:t>1</w:t>
      </w:r>
      <w:r>
        <w:rPr>
          <w:rFonts w:ascii="Calibri"/>
          <w:color w:val="585858"/>
          <w:spacing w:val="-1"/>
          <w:sz w:val="18"/>
        </w:rPr>
        <w:t> </w:t>
      </w:r>
      <w:r>
        <w:rPr>
          <w:rFonts w:ascii="Calibri"/>
          <w:color w:val="585858"/>
          <w:sz w:val="18"/>
        </w:rPr>
        <w:t>Bedroom</w:t>
      </w:r>
    </w:p>
    <w:p>
      <w:pPr>
        <w:spacing w:before="206"/>
        <w:ind w:left="0" w:right="1941" w:firstLine="0"/>
        <w:jc w:val="right"/>
        <w:rPr>
          <w:rFonts w:ascii="Calibri"/>
          <w:sz w:val="18"/>
        </w:rPr>
      </w:pPr>
      <w:r>
        <w:rPr/>
        <w:drawing>
          <wp:inline distT="0" distB="0" distL="0" distR="0">
            <wp:extent cx="66293" cy="66293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3" cy="66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2"/>
          <w:sz w:val="20"/>
        </w:rPr>
        <w:t> </w:t>
      </w:r>
      <w:r>
        <w:rPr>
          <w:rFonts w:ascii="Calibri"/>
          <w:color w:val="585858"/>
          <w:sz w:val="18"/>
        </w:rPr>
        <w:t>2</w:t>
      </w:r>
      <w:r>
        <w:rPr>
          <w:rFonts w:ascii="Calibri"/>
          <w:color w:val="585858"/>
          <w:spacing w:val="-1"/>
          <w:sz w:val="18"/>
        </w:rPr>
        <w:t> </w:t>
      </w:r>
      <w:r>
        <w:rPr>
          <w:rFonts w:ascii="Calibri"/>
          <w:color w:val="585858"/>
          <w:sz w:val="18"/>
        </w:rPr>
        <w:t>Bedroom</w:t>
      </w:r>
    </w:p>
    <w:p>
      <w:pPr>
        <w:spacing w:before="207"/>
        <w:ind w:left="0" w:right="1941" w:firstLine="0"/>
        <w:jc w:val="right"/>
        <w:rPr>
          <w:rFonts w:ascii="Calibri"/>
          <w:sz w:val="18"/>
        </w:rPr>
      </w:pPr>
      <w:r>
        <w:rPr/>
        <w:drawing>
          <wp:inline distT="0" distB="0" distL="0" distR="0">
            <wp:extent cx="66293" cy="66293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3" cy="66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2"/>
          <w:sz w:val="20"/>
        </w:rPr>
        <w:t> </w:t>
      </w:r>
      <w:r>
        <w:rPr>
          <w:rFonts w:ascii="Calibri"/>
          <w:color w:val="585858"/>
          <w:sz w:val="18"/>
        </w:rPr>
        <w:t>3</w:t>
      </w:r>
      <w:r>
        <w:rPr>
          <w:rFonts w:ascii="Calibri"/>
          <w:color w:val="585858"/>
          <w:spacing w:val="-1"/>
          <w:sz w:val="18"/>
        </w:rPr>
        <w:t> </w:t>
      </w:r>
      <w:r>
        <w:rPr>
          <w:rFonts w:ascii="Calibri"/>
          <w:color w:val="585858"/>
          <w:sz w:val="18"/>
        </w:rPr>
        <w:t>Bedroom</w:t>
      </w:r>
    </w:p>
    <w:p>
      <w:pPr>
        <w:spacing w:before="208"/>
        <w:ind w:left="0" w:right="1852" w:firstLine="0"/>
        <w:jc w:val="right"/>
        <w:rPr>
          <w:rFonts w:ascii="Calibri"/>
          <w:sz w:val="18"/>
        </w:rPr>
      </w:pPr>
      <w:r>
        <w:rPr/>
        <w:drawing>
          <wp:inline distT="0" distB="0" distL="0" distR="0">
            <wp:extent cx="66293" cy="66293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3" cy="66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3"/>
          <w:sz w:val="20"/>
        </w:rPr>
        <w:t> </w:t>
      </w:r>
      <w:r>
        <w:rPr>
          <w:rFonts w:ascii="Calibri"/>
          <w:color w:val="585858"/>
          <w:sz w:val="18"/>
        </w:rPr>
        <w:t>4+</w:t>
      </w:r>
      <w:r>
        <w:rPr>
          <w:rFonts w:ascii="Calibri"/>
          <w:color w:val="585858"/>
          <w:spacing w:val="-1"/>
          <w:sz w:val="18"/>
        </w:rPr>
        <w:t> </w:t>
      </w:r>
      <w:r>
        <w:rPr>
          <w:rFonts w:ascii="Calibri"/>
          <w:color w:val="585858"/>
          <w:sz w:val="18"/>
        </w:rPr>
        <w:t>Bedroom</w:t>
      </w:r>
    </w:p>
    <w:p>
      <w:pPr>
        <w:pStyle w:val="BodyText"/>
        <w:rPr>
          <w:rFonts w:ascii="Calibri"/>
          <w:sz w:val="16"/>
        </w:rPr>
      </w:pPr>
    </w:p>
    <w:p>
      <w:pPr>
        <w:pStyle w:val="BodyText"/>
        <w:rPr>
          <w:rFonts w:ascii="Calibri"/>
          <w:sz w:val="16"/>
        </w:rPr>
      </w:pPr>
    </w:p>
    <w:p>
      <w:pPr>
        <w:pStyle w:val="BodyText"/>
        <w:rPr>
          <w:rFonts w:ascii="Calibri"/>
          <w:sz w:val="16"/>
        </w:rPr>
      </w:pPr>
    </w:p>
    <w:p>
      <w:pPr>
        <w:pStyle w:val="BodyText"/>
        <w:rPr>
          <w:rFonts w:ascii="Calibri"/>
          <w:sz w:val="16"/>
        </w:rPr>
      </w:pPr>
    </w:p>
    <w:p>
      <w:pPr>
        <w:pStyle w:val="BodyText"/>
        <w:spacing w:before="189"/>
        <w:rPr>
          <w:rFonts w:ascii="Calibri"/>
          <w:sz w:val="16"/>
        </w:rPr>
      </w:pPr>
    </w:p>
    <w:p>
      <w:pPr>
        <w:spacing w:before="0"/>
        <w:ind w:left="288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Source:</w:t>
      </w:r>
      <w:r>
        <w:rPr>
          <w:rFonts w:ascii="Arial MT"/>
          <w:spacing w:val="36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5"/>
          <w:sz w:val="16"/>
        </w:rPr>
        <w:t> </w:t>
      </w:r>
      <w:r>
        <w:rPr>
          <w:rFonts w:ascii="Arial MT"/>
          <w:spacing w:val="-4"/>
          <w:sz w:val="16"/>
        </w:rPr>
        <w:t>2025.</w:t>
      </w:r>
    </w:p>
    <w:p>
      <w:pPr>
        <w:pStyle w:val="BodyText"/>
        <w:spacing w:before="166"/>
        <w:rPr>
          <w:rFonts w:ascii="Arial MT"/>
          <w:sz w:val="16"/>
        </w:rPr>
      </w:pPr>
    </w:p>
    <w:p>
      <w:pPr>
        <w:pStyle w:val="BodyText"/>
        <w:spacing w:line="288" w:lineRule="auto"/>
        <w:ind w:left="287" w:right="384"/>
      </w:pPr>
      <w:r>
        <w:rPr/>
        <w:t>Figure</w:t>
      </w:r>
      <w:r>
        <w:rPr>
          <w:spacing w:val="-1"/>
        </w:rPr>
        <w:t> </w:t>
      </w:r>
      <w:r>
        <w:rPr/>
        <w:t>2,</w:t>
      </w:r>
      <w:r>
        <w:rPr>
          <w:spacing w:val="-2"/>
        </w:rPr>
        <w:t> </w:t>
      </w:r>
      <w:r>
        <w:rPr/>
        <w:t>below,</w:t>
      </w:r>
      <w:r>
        <w:rPr>
          <w:spacing w:val="-2"/>
        </w:rPr>
        <w:t> </w:t>
      </w:r>
      <w:r>
        <w:rPr/>
        <w:t>summarizes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average</w:t>
      </w:r>
      <w:r>
        <w:rPr>
          <w:spacing w:val="-3"/>
        </w:rPr>
        <w:t> </w:t>
      </w:r>
      <w:r>
        <w:rPr/>
        <w:t>number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occupants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unit-leased</w:t>
      </w:r>
      <w:r>
        <w:rPr>
          <w:spacing w:val="-2"/>
        </w:rPr>
        <w:t> </w:t>
      </w:r>
      <w:r>
        <w:rPr/>
        <w:t>apartments</w:t>
      </w:r>
      <w:r>
        <w:rPr>
          <w:spacing w:val="-2"/>
        </w:rPr>
        <w:t> </w:t>
      </w:r>
      <w:r>
        <w:rPr/>
        <w:t>by unit</w:t>
      </w:r>
      <w:r>
        <w:rPr>
          <w:spacing w:val="-10"/>
        </w:rPr>
        <w:t> </w:t>
      </w:r>
      <w:r>
        <w:rPr/>
        <w:t>size.</w:t>
      </w:r>
      <w:r>
        <w:rPr>
          <w:spacing w:val="-10"/>
        </w:rPr>
        <w:t> </w:t>
      </w:r>
      <w:r>
        <w:rPr/>
        <w:t>As</w:t>
      </w:r>
      <w:r>
        <w:rPr>
          <w:spacing w:val="-9"/>
        </w:rPr>
        <w:t> </w:t>
      </w:r>
      <w:r>
        <w:rPr/>
        <w:t>reported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Figure</w:t>
      </w:r>
      <w:r>
        <w:rPr>
          <w:spacing w:val="-9"/>
        </w:rPr>
        <w:t> </w:t>
      </w:r>
      <w:r>
        <w:rPr/>
        <w:t>2,</w:t>
      </w:r>
      <w:r>
        <w:rPr>
          <w:spacing w:val="-10"/>
        </w:rPr>
        <w:t> </w:t>
      </w:r>
      <w:r>
        <w:rPr/>
        <w:t>most</w:t>
      </w:r>
      <w:r>
        <w:rPr>
          <w:spacing w:val="-10"/>
        </w:rPr>
        <w:t> </w:t>
      </w:r>
      <w:r>
        <w:rPr/>
        <w:t>units</w:t>
      </w:r>
      <w:r>
        <w:rPr>
          <w:spacing w:val="-10"/>
        </w:rPr>
        <w:t> </w:t>
      </w:r>
      <w:r>
        <w:rPr/>
        <w:t>have</w:t>
      </w:r>
      <w:r>
        <w:rPr>
          <w:spacing w:val="-10"/>
        </w:rPr>
        <w:t> </w:t>
      </w:r>
      <w:r>
        <w:rPr/>
        <w:t>at</w:t>
      </w:r>
      <w:r>
        <w:rPr>
          <w:spacing w:val="-10"/>
        </w:rPr>
        <w:t> </w:t>
      </w:r>
      <w:r>
        <w:rPr/>
        <w:t>least</w:t>
      </w:r>
      <w:r>
        <w:rPr>
          <w:spacing w:val="-10"/>
        </w:rPr>
        <w:t> </w:t>
      </w:r>
      <w:r>
        <w:rPr/>
        <w:t>one</w:t>
      </w:r>
      <w:r>
        <w:rPr>
          <w:spacing w:val="-10"/>
        </w:rPr>
        <w:t> </w:t>
      </w:r>
      <w:r>
        <w:rPr/>
        <w:t>double</w:t>
      </w:r>
      <w:r>
        <w:rPr>
          <w:spacing w:val="-10"/>
        </w:rPr>
        <w:t> </w:t>
      </w:r>
      <w:r>
        <w:rPr/>
        <w:t>occupancy</w:t>
      </w:r>
      <w:r>
        <w:rPr>
          <w:spacing w:val="-10"/>
        </w:rPr>
        <w:t> </w:t>
      </w:r>
      <w:r>
        <w:rPr/>
        <w:t>bedroom,</w:t>
      </w:r>
      <w:r>
        <w:rPr>
          <w:spacing w:val="-10"/>
        </w:rPr>
        <w:t> </w:t>
      </w:r>
      <w:r>
        <w:rPr/>
        <w:t>on average. For example, the average</w:t>
      </w:r>
      <w:r>
        <w:rPr>
          <w:spacing w:val="-1"/>
        </w:rPr>
        <w:t> </w:t>
      </w:r>
      <w:r>
        <w:rPr/>
        <w:t>occupancy for</w:t>
      </w:r>
      <w:r>
        <w:rPr>
          <w:spacing w:val="-1"/>
        </w:rPr>
        <w:t> </w:t>
      </w:r>
      <w:r>
        <w:rPr/>
        <w:t>a one-bedroom unit</w:t>
      </w:r>
      <w:r>
        <w:rPr>
          <w:spacing w:val="-1"/>
        </w:rPr>
        <w:t> </w:t>
      </w:r>
      <w:r>
        <w:rPr/>
        <w:t>is 1.6 persons, while two-bedroom units average 3.0 residents, three-bedroom units average 4.0 residents, and units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four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more</w:t>
      </w:r>
      <w:r>
        <w:rPr>
          <w:spacing w:val="-9"/>
        </w:rPr>
        <w:t> </w:t>
      </w:r>
      <w:r>
        <w:rPr/>
        <w:t>bedrooms</w:t>
      </w:r>
      <w:r>
        <w:rPr>
          <w:spacing w:val="-10"/>
        </w:rPr>
        <w:t> </w:t>
      </w:r>
      <w:r>
        <w:rPr/>
        <w:t>average</w:t>
      </w:r>
      <w:r>
        <w:rPr>
          <w:spacing w:val="-10"/>
        </w:rPr>
        <w:t> </w:t>
      </w:r>
      <w:r>
        <w:rPr/>
        <w:t>4.9</w:t>
      </w:r>
      <w:r>
        <w:rPr>
          <w:spacing w:val="-10"/>
        </w:rPr>
        <w:t> </w:t>
      </w:r>
      <w:r>
        <w:rPr/>
        <w:t>residents.</w:t>
      </w:r>
      <w:r>
        <w:rPr>
          <w:spacing w:val="-10"/>
        </w:rPr>
        <w:t> </w:t>
      </w:r>
      <w:r>
        <w:rPr/>
        <w:t>Occupancy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studio</w:t>
      </w:r>
      <w:r>
        <w:rPr>
          <w:spacing w:val="-10"/>
        </w:rPr>
        <w:t> </w:t>
      </w:r>
      <w:r>
        <w:rPr/>
        <w:t>units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typically a single person, with an average occupancy factor of 1.2 residents. These occupancy characteristics are similar to those found in the 2024 survey period.</w:t>
      </w:r>
    </w:p>
    <w:p>
      <w:pPr>
        <w:pStyle w:val="BodyText"/>
        <w:spacing w:before="55"/>
      </w:pPr>
    </w:p>
    <w:p>
      <w:pPr>
        <w:spacing w:before="1"/>
        <w:ind w:left="288" w:right="0" w:firstLine="0"/>
        <w:jc w:val="left"/>
        <w:rPr>
          <w:i/>
          <w:sz w:val="22"/>
        </w:rPr>
      </w:pPr>
      <w:r>
        <w:rPr>
          <w:i/>
          <w:sz w:val="22"/>
        </w:rPr>
        <w:drawing>
          <wp:anchor distT="0" distB="0" distL="0" distR="0" allowOverlap="1" layoutInCell="1" locked="0" behindDoc="1" simplePos="0" relativeHeight="486212096">
            <wp:simplePos x="0" y="0"/>
            <wp:positionH relativeFrom="page">
              <wp:posOffset>1932432</wp:posOffset>
            </wp:positionH>
            <wp:positionV relativeFrom="paragraph">
              <wp:posOffset>298636</wp:posOffset>
            </wp:positionV>
            <wp:extent cx="4221727" cy="2002536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1727" cy="2002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Figure 2:  Average Number of Occupants i" w:id="7"/>
      <w:bookmarkEnd w:id="7"/>
      <w:r>
        <w:rPr/>
      </w:r>
      <w:r>
        <w:rPr>
          <w:i/>
          <w:sz w:val="22"/>
        </w:rPr>
        <w:t>Figure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2: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Average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Number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Occupants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Unit-Leased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Apartments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9"/>
          <w:sz w:val="22"/>
        </w:rPr>
        <w:t> </w:t>
      </w:r>
      <w:r>
        <w:rPr>
          <w:i/>
          <w:spacing w:val="-4"/>
          <w:sz w:val="22"/>
        </w:rPr>
        <w:t>Type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40"/>
        <w:rPr>
          <w:i/>
          <w:sz w:val="20"/>
        </w:rPr>
      </w:pPr>
    </w:p>
    <w:tbl>
      <w:tblPr>
        <w:tblW w:w="0" w:type="auto"/>
        <w:jc w:val="left"/>
        <w:tblInd w:w="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1"/>
        <w:gridCol w:w="677"/>
        <w:gridCol w:w="518"/>
        <w:gridCol w:w="623"/>
        <w:gridCol w:w="693"/>
        <w:gridCol w:w="702"/>
        <w:gridCol w:w="377"/>
        <w:gridCol w:w="366"/>
        <w:gridCol w:w="524"/>
        <w:gridCol w:w="400"/>
        <w:gridCol w:w="366"/>
        <w:gridCol w:w="501"/>
        <w:gridCol w:w="341"/>
        <w:gridCol w:w="321"/>
      </w:tblGrid>
      <w:tr>
        <w:trPr>
          <w:trHeight w:val="406" w:hRule="atLeast"/>
        </w:trPr>
        <w:tc>
          <w:tcPr>
            <w:tcW w:w="1711" w:type="dxa"/>
          </w:tcPr>
          <w:p>
            <w:pPr>
              <w:pStyle w:val="TableParagraph"/>
              <w:spacing w:before="17"/>
              <w:ind w:right="47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pacing w:val="-2"/>
                <w:sz w:val="18"/>
              </w:rPr>
              <w:t>Studio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" w:type="dxa"/>
          </w:tcPr>
          <w:p>
            <w:pPr>
              <w:pStyle w:val="TableParagraph"/>
              <w:spacing w:line="204" w:lineRule="exact"/>
              <w:ind w:left="18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404040"/>
                <w:spacing w:val="-5"/>
                <w:sz w:val="20"/>
              </w:rPr>
              <w:t>1.2</w:t>
            </w: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3" w:type="dxa"/>
            <w:gridSpan w:val="6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1711" w:type="dxa"/>
          </w:tcPr>
          <w:p>
            <w:pPr>
              <w:pStyle w:val="TableParagraph"/>
              <w:spacing w:before="190"/>
              <w:ind w:right="47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z w:val="18"/>
              </w:rPr>
              <w:t>1 </w:t>
            </w:r>
            <w:r>
              <w:rPr>
                <w:rFonts w:ascii="Calibri"/>
                <w:color w:val="585858"/>
                <w:spacing w:val="-2"/>
                <w:sz w:val="18"/>
              </w:rPr>
              <w:t>Bedroom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spacing w:before="133"/>
              <w:ind w:left="10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404040"/>
                <w:spacing w:val="-5"/>
                <w:sz w:val="20"/>
              </w:rPr>
              <w:t>1.6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3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0" w:hRule="atLeast"/>
        </w:trPr>
        <w:tc>
          <w:tcPr>
            <w:tcW w:w="1711" w:type="dxa"/>
          </w:tcPr>
          <w:p>
            <w:pPr>
              <w:pStyle w:val="TableParagraph"/>
              <w:spacing w:before="190"/>
              <w:ind w:right="47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z w:val="18"/>
              </w:rPr>
              <w:t>2 </w:t>
            </w:r>
            <w:r>
              <w:rPr>
                <w:rFonts w:ascii="Calibri"/>
                <w:color w:val="585858"/>
                <w:spacing w:val="-2"/>
                <w:sz w:val="18"/>
              </w:rPr>
              <w:t>Bedroom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spacing w:before="133"/>
              <w:ind w:left="4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404040"/>
                <w:spacing w:val="-5"/>
                <w:sz w:val="20"/>
              </w:rPr>
              <w:t>3.0</w:t>
            </w:r>
          </w:p>
        </w:tc>
        <w:tc>
          <w:tcPr>
            <w:tcW w:w="2453" w:type="dxa"/>
            <w:gridSpan w:val="6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0" w:hRule="atLeast"/>
        </w:trPr>
        <w:tc>
          <w:tcPr>
            <w:tcW w:w="1711" w:type="dxa"/>
          </w:tcPr>
          <w:p>
            <w:pPr>
              <w:pStyle w:val="TableParagraph"/>
              <w:spacing w:before="190"/>
              <w:ind w:right="47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z w:val="18"/>
              </w:rPr>
              <w:t>3 </w:t>
            </w:r>
            <w:r>
              <w:rPr>
                <w:rFonts w:ascii="Calibri"/>
                <w:color w:val="585858"/>
                <w:spacing w:val="-2"/>
                <w:sz w:val="18"/>
              </w:rPr>
              <w:t>Bedroom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spacing w:before="133"/>
              <w:ind w:left="7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404040"/>
                <w:spacing w:val="-5"/>
                <w:sz w:val="20"/>
              </w:rPr>
              <w:t>4.0</w:t>
            </w: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4" w:hRule="atLeast"/>
        </w:trPr>
        <w:tc>
          <w:tcPr>
            <w:tcW w:w="1711" w:type="dxa"/>
          </w:tcPr>
          <w:p>
            <w:pPr>
              <w:pStyle w:val="TableParagraph"/>
              <w:spacing w:before="190"/>
              <w:ind w:right="47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z w:val="18"/>
              </w:rPr>
              <w:t>4+</w:t>
            </w:r>
            <w:r>
              <w:rPr>
                <w:rFonts w:ascii="Calibri"/>
                <w:color w:val="585858"/>
                <w:spacing w:val="-1"/>
                <w:sz w:val="18"/>
              </w:rPr>
              <w:t> </w:t>
            </w:r>
            <w:r>
              <w:rPr>
                <w:rFonts w:ascii="Calibri"/>
                <w:color w:val="585858"/>
                <w:spacing w:val="-2"/>
                <w:sz w:val="18"/>
              </w:rPr>
              <w:t>Bedroom</w:t>
            </w:r>
          </w:p>
        </w:tc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spacing w:before="133"/>
              <w:ind w:left="1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404040"/>
                <w:spacing w:val="-5"/>
                <w:sz w:val="20"/>
              </w:rPr>
              <w:t>4.9</w:t>
            </w:r>
          </w:p>
        </w:tc>
      </w:tr>
      <w:tr>
        <w:trPr>
          <w:trHeight w:val="707" w:hRule="atLeast"/>
        </w:trPr>
        <w:tc>
          <w:tcPr>
            <w:tcW w:w="1711" w:type="dxa"/>
          </w:tcPr>
          <w:p>
            <w:pPr>
              <w:pStyle w:val="TableParagraph"/>
              <w:spacing w:before="131"/>
              <w:ind w:right="259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pacing w:val="-10"/>
                <w:sz w:val="18"/>
              </w:rPr>
              <w:t>0</w:t>
            </w:r>
          </w:p>
          <w:p>
            <w:pPr>
              <w:pStyle w:val="TableParagraph"/>
              <w:spacing w:line="164" w:lineRule="exact" w:before="173"/>
              <w:ind w:left="50"/>
              <w:rPr>
                <w:sz w:val="16"/>
              </w:rPr>
            </w:pPr>
            <w:r>
              <w:rPr>
                <w:sz w:val="16"/>
              </w:rPr>
              <w:t>Source:</w:t>
            </w:r>
            <w:r>
              <w:rPr>
                <w:spacing w:val="36"/>
                <w:sz w:val="16"/>
              </w:rPr>
              <w:t> </w:t>
            </w:r>
            <w:r>
              <w:rPr>
                <w:sz w:val="16"/>
              </w:rPr>
              <w:t>BAE,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2025.</w:t>
            </w:r>
          </w:p>
        </w:tc>
        <w:tc>
          <w:tcPr>
            <w:tcW w:w="677" w:type="dxa"/>
          </w:tcPr>
          <w:p>
            <w:pPr>
              <w:pStyle w:val="TableParagraph"/>
              <w:spacing w:before="131"/>
              <w:ind w:left="212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pacing w:val="-5"/>
                <w:sz w:val="18"/>
              </w:rPr>
              <w:t>0.5</w:t>
            </w:r>
          </w:p>
        </w:tc>
        <w:tc>
          <w:tcPr>
            <w:tcW w:w="518" w:type="dxa"/>
          </w:tcPr>
          <w:p>
            <w:pPr>
              <w:pStyle w:val="TableParagraph"/>
              <w:spacing w:before="131"/>
              <w:ind w:left="47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pacing w:val="-10"/>
                <w:sz w:val="18"/>
              </w:rPr>
              <w:t>1</w:t>
            </w:r>
          </w:p>
        </w:tc>
        <w:tc>
          <w:tcPr>
            <w:tcW w:w="623" w:type="dxa"/>
          </w:tcPr>
          <w:p>
            <w:pPr>
              <w:pStyle w:val="TableParagraph"/>
              <w:spacing w:before="131"/>
              <w:ind w:left="284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pacing w:val="-5"/>
                <w:sz w:val="18"/>
              </w:rPr>
              <w:t>1.5</w:t>
            </w:r>
          </w:p>
        </w:tc>
        <w:tc>
          <w:tcPr>
            <w:tcW w:w="693" w:type="dxa"/>
          </w:tcPr>
          <w:p>
            <w:pPr>
              <w:pStyle w:val="TableParagraph"/>
              <w:spacing w:before="131"/>
              <w:ind w:left="12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pacing w:val="-10"/>
                <w:sz w:val="18"/>
              </w:rPr>
              <w:t>2</w:t>
            </w:r>
          </w:p>
        </w:tc>
        <w:tc>
          <w:tcPr>
            <w:tcW w:w="702" w:type="dxa"/>
          </w:tcPr>
          <w:p>
            <w:pPr>
              <w:pStyle w:val="TableParagraph"/>
              <w:spacing w:before="131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pacing w:val="-5"/>
                <w:sz w:val="18"/>
              </w:rPr>
              <w:t>2.5</w:t>
            </w:r>
          </w:p>
        </w:tc>
        <w:tc>
          <w:tcPr>
            <w:tcW w:w="377" w:type="dxa"/>
          </w:tcPr>
          <w:p>
            <w:pPr>
              <w:pStyle w:val="TableParagraph"/>
              <w:spacing w:before="131"/>
              <w:ind w:left="235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pacing w:val="-10"/>
                <w:sz w:val="18"/>
              </w:rPr>
              <w:t>3</w:t>
            </w: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" w:type="dxa"/>
          </w:tcPr>
          <w:p>
            <w:pPr>
              <w:pStyle w:val="TableParagraph"/>
              <w:spacing w:before="131"/>
              <w:ind w:left="58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pacing w:val="-5"/>
                <w:sz w:val="18"/>
              </w:rPr>
              <w:t>3.5</w:t>
            </w:r>
          </w:p>
        </w:tc>
        <w:tc>
          <w:tcPr>
            <w:tcW w:w="400" w:type="dxa"/>
          </w:tcPr>
          <w:p>
            <w:pPr>
              <w:pStyle w:val="TableParagraph"/>
              <w:spacing w:before="131"/>
              <w:ind w:left="236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pacing w:val="-10"/>
                <w:sz w:val="18"/>
              </w:rPr>
              <w:t>4</w:t>
            </w: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</w:tcPr>
          <w:p>
            <w:pPr>
              <w:pStyle w:val="TableParagraph"/>
              <w:spacing w:before="131"/>
              <w:ind w:left="35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pacing w:val="-5"/>
                <w:sz w:val="18"/>
              </w:rPr>
              <w:t>4.5</w:t>
            </w:r>
          </w:p>
        </w:tc>
        <w:tc>
          <w:tcPr>
            <w:tcW w:w="341" w:type="dxa"/>
          </w:tcPr>
          <w:p>
            <w:pPr>
              <w:pStyle w:val="TableParagraph"/>
              <w:spacing w:before="131"/>
              <w:ind w:right="1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color w:val="585858"/>
                <w:spacing w:val="-10"/>
                <w:sz w:val="18"/>
              </w:rPr>
              <w:t>5</w:t>
            </w: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2240" w:h="15840"/>
          <w:pgMar w:header="0" w:footer="794" w:top="1700" w:bottom="980" w:left="1440" w:right="1440"/>
        </w:sectPr>
      </w:pPr>
    </w:p>
    <w:p>
      <w:pPr>
        <w:pStyle w:val="BodyText"/>
        <w:spacing w:line="288" w:lineRule="auto" w:before="78"/>
        <w:ind w:left="287"/>
      </w:pPr>
      <w:r>
        <w:rPr/>
        <w:t>Table</w:t>
      </w:r>
      <w:r>
        <w:rPr>
          <w:spacing w:val="-1"/>
        </w:rPr>
        <w:t> </w:t>
      </w:r>
      <w:r>
        <w:rPr/>
        <w:t>1, below, provides detailed unit</w:t>
      </w:r>
      <w:r>
        <w:rPr>
          <w:spacing w:val="-1"/>
        </w:rPr>
        <w:t> </w:t>
      </w:r>
      <w:r>
        <w:rPr/>
        <w:t>totals, along with the</w:t>
      </w:r>
      <w:r>
        <w:rPr>
          <w:spacing w:val="-1"/>
        </w:rPr>
        <w:t> </w:t>
      </w:r>
      <w:r>
        <w:rPr/>
        <w:t>number</w:t>
      </w:r>
      <w:r>
        <w:rPr>
          <w:spacing w:val="-1"/>
        </w:rPr>
        <w:t> </w:t>
      </w:r>
      <w:r>
        <w:rPr/>
        <w:t>of vacant units, and the associated</w:t>
      </w:r>
      <w:r>
        <w:rPr>
          <w:spacing w:val="-10"/>
        </w:rPr>
        <w:t> </w:t>
      </w:r>
      <w:r>
        <w:rPr/>
        <w:t>vacancy</w:t>
      </w:r>
      <w:r>
        <w:rPr>
          <w:spacing w:val="-11"/>
        </w:rPr>
        <w:t> </w:t>
      </w:r>
      <w:r>
        <w:rPr/>
        <w:t>rate</w:t>
      </w:r>
      <w:r>
        <w:rPr>
          <w:spacing w:val="-10"/>
        </w:rPr>
        <w:t> </w:t>
      </w:r>
      <w:r>
        <w:rPr/>
        <w:t>by</w:t>
      </w:r>
      <w:r>
        <w:rPr>
          <w:spacing w:val="-11"/>
        </w:rPr>
        <w:t> </w:t>
      </w:r>
      <w:r>
        <w:rPr/>
        <w:t>unit</w:t>
      </w:r>
      <w:r>
        <w:rPr>
          <w:spacing w:val="-12"/>
        </w:rPr>
        <w:t> </w:t>
      </w:r>
      <w:r>
        <w:rPr/>
        <w:t>size.</w:t>
      </w:r>
      <w:r>
        <w:rPr>
          <w:spacing w:val="-10"/>
        </w:rPr>
        <w:t> </w:t>
      </w:r>
      <w:r>
        <w:rPr/>
        <w:t>Again,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results</w:t>
      </w:r>
      <w:r>
        <w:rPr>
          <w:spacing w:val="-11"/>
        </w:rPr>
        <w:t> </w:t>
      </w:r>
      <w:r>
        <w:rPr/>
        <w:t>reflect</w:t>
      </w:r>
      <w:r>
        <w:rPr>
          <w:spacing w:val="-10"/>
        </w:rPr>
        <w:t> </w:t>
      </w:r>
      <w:r>
        <w:rPr/>
        <w:t>only</w:t>
      </w:r>
      <w:r>
        <w:rPr>
          <w:spacing w:val="-11"/>
        </w:rPr>
        <w:t> </w:t>
      </w:r>
      <w:r>
        <w:rPr/>
        <w:t>those</w:t>
      </w:r>
      <w:r>
        <w:rPr>
          <w:spacing w:val="-12"/>
        </w:rPr>
        <w:t> </w:t>
      </w:r>
      <w:r>
        <w:rPr/>
        <w:t>survey</w:t>
      </w:r>
      <w:r>
        <w:rPr>
          <w:spacing w:val="-10"/>
        </w:rPr>
        <w:t> </w:t>
      </w:r>
      <w:r>
        <w:rPr/>
        <w:t>responses</w:t>
      </w:r>
      <w:r>
        <w:rPr>
          <w:spacing w:val="-11"/>
        </w:rPr>
        <w:t> </w:t>
      </w:r>
      <w:r>
        <w:rPr/>
        <w:t>that provided</w:t>
      </w:r>
      <w:r>
        <w:rPr>
          <w:spacing w:val="-9"/>
        </w:rPr>
        <w:t> </w:t>
      </w:r>
      <w:r>
        <w:rPr/>
        <w:t>unit</w:t>
      </w:r>
      <w:r>
        <w:rPr>
          <w:spacing w:val="-9"/>
        </w:rPr>
        <w:t> </w:t>
      </w:r>
      <w:r>
        <w:rPr/>
        <w:t>size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vacancy</w:t>
      </w:r>
      <w:r>
        <w:rPr>
          <w:spacing w:val="-9"/>
        </w:rPr>
        <w:t> </w:t>
      </w:r>
      <w:r>
        <w:rPr/>
        <w:t>details.</w:t>
      </w:r>
      <w:r>
        <w:rPr>
          <w:spacing w:val="-8"/>
        </w:rPr>
        <w:t> </w:t>
      </w:r>
      <w:r>
        <w:rPr/>
        <w:t>There</w:t>
      </w:r>
      <w:r>
        <w:rPr>
          <w:spacing w:val="-10"/>
        </w:rPr>
        <w:t> </w:t>
      </w:r>
      <w:r>
        <w:rPr/>
        <w:t>were</w:t>
      </w:r>
      <w:r>
        <w:rPr>
          <w:spacing w:val="-10"/>
        </w:rPr>
        <w:t> </w:t>
      </w:r>
      <w:r>
        <w:rPr/>
        <w:t>roughly</w:t>
      </w:r>
      <w:r>
        <w:rPr>
          <w:spacing w:val="-9"/>
        </w:rPr>
        <w:t> </w:t>
      </w:r>
      <w:r>
        <w:rPr/>
        <w:t>174</w:t>
      </w:r>
      <w:r>
        <w:rPr>
          <w:spacing w:val="-8"/>
        </w:rPr>
        <w:t> </w:t>
      </w:r>
      <w:r>
        <w:rPr/>
        <w:t>vacant</w:t>
      </w:r>
      <w:r>
        <w:rPr>
          <w:spacing w:val="-10"/>
        </w:rPr>
        <w:t> </w:t>
      </w:r>
      <w:r>
        <w:rPr/>
        <w:t>apartments</w:t>
      </w:r>
      <w:r>
        <w:rPr>
          <w:spacing w:val="-8"/>
        </w:rPr>
        <w:t> </w:t>
      </w:r>
      <w:r>
        <w:rPr/>
        <w:t>reported</w:t>
      </w:r>
      <w:r>
        <w:rPr>
          <w:spacing w:val="-9"/>
        </w:rPr>
        <w:t> </w:t>
      </w:r>
      <w:r>
        <w:rPr/>
        <w:t>as available for lease on a unit-lease basis during the survey period, which is less than the 283 vacant</w:t>
      </w:r>
      <w:r>
        <w:rPr>
          <w:spacing w:val="-3"/>
        </w:rPr>
        <w:t> </w:t>
      </w:r>
      <w:r>
        <w:rPr/>
        <w:t>units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2024,</w:t>
      </w:r>
      <w:r>
        <w:rPr>
          <w:spacing w:val="-2"/>
        </w:rPr>
        <w:t> </w:t>
      </w:r>
      <w:r>
        <w:rPr/>
        <w:t>but</w:t>
      </w:r>
      <w:r>
        <w:rPr>
          <w:spacing w:val="-1"/>
        </w:rPr>
        <w:t> </w:t>
      </w:r>
      <w:r>
        <w:rPr/>
        <w:t>significantly</w:t>
      </w:r>
      <w:r>
        <w:rPr>
          <w:spacing w:val="-1"/>
        </w:rPr>
        <w:t> </w:t>
      </w:r>
      <w:r>
        <w:rPr/>
        <w:t>more</w:t>
      </w:r>
      <w:r>
        <w:rPr>
          <w:spacing w:val="-1"/>
        </w:rPr>
        <w:t> </w:t>
      </w:r>
      <w:r>
        <w:rPr/>
        <w:t>than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historically</w:t>
      </w:r>
      <w:r>
        <w:rPr>
          <w:spacing w:val="-1"/>
        </w:rPr>
        <w:t> </w:t>
      </w:r>
      <w:r>
        <w:rPr/>
        <w:t>low</w:t>
      </w:r>
      <w:r>
        <w:rPr>
          <w:spacing w:val="-2"/>
        </w:rPr>
        <w:t> </w:t>
      </w:r>
      <w:r>
        <w:rPr/>
        <w:t>number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vacant</w:t>
      </w:r>
      <w:r>
        <w:rPr>
          <w:spacing w:val="-3"/>
        </w:rPr>
        <w:t> </w:t>
      </w:r>
      <w:r>
        <w:rPr/>
        <w:t>units found in 2022, of just 18 vacant units. This translates to a vacancy rate of 2.6 percent, lower than the observed vacancy rate in 2024 of 4.2 percent, but higher than the historical trended average</w:t>
      </w:r>
      <w:r>
        <w:rPr>
          <w:spacing w:val="-2"/>
        </w:rPr>
        <w:t> </w:t>
      </w:r>
      <w:r>
        <w:rPr/>
        <w:t>dating</w:t>
      </w:r>
      <w:r>
        <w:rPr>
          <w:spacing w:val="-1"/>
        </w:rPr>
        <w:t> </w:t>
      </w:r>
      <w:r>
        <w:rPr/>
        <w:t>back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when</w:t>
      </w:r>
      <w:r>
        <w:rPr>
          <w:spacing w:val="-2"/>
        </w:rPr>
        <w:t> </w:t>
      </w:r>
      <w:r>
        <w:rPr/>
        <w:t>BAE</w:t>
      </w:r>
      <w:r>
        <w:rPr>
          <w:spacing w:val="-2"/>
        </w:rPr>
        <w:t> </w:t>
      </w:r>
      <w:r>
        <w:rPr/>
        <w:t>took</w:t>
      </w:r>
      <w:r>
        <w:rPr>
          <w:spacing w:val="-1"/>
        </w:rPr>
        <w:t> </w:t>
      </w:r>
      <w:r>
        <w:rPr/>
        <w:t>over</w:t>
      </w:r>
      <w:r>
        <w:rPr>
          <w:spacing w:val="-2"/>
        </w:rPr>
        <w:t> </w:t>
      </w:r>
      <w:r>
        <w:rPr/>
        <w:t>administration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survey</w:t>
      </w:r>
      <w:r>
        <w:rPr>
          <w:spacing w:val="-1"/>
        </w:rPr>
        <w:t> </w:t>
      </w:r>
      <w:r>
        <w:rPr/>
        <w:t>in 2013.</w:t>
      </w:r>
    </w:p>
    <w:p>
      <w:pPr>
        <w:pStyle w:val="BodyText"/>
        <w:spacing w:before="56"/>
      </w:pPr>
    </w:p>
    <w:p>
      <w:pPr>
        <w:spacing w:before="0"/>
        <w:ind w:left="288" w:right="0" w:firstLine="0"/>
        <w:jc w:val="left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1078230</wp:posOffset>
                </wp:positionH>
                <wp:positionV relativeFrom="paragraph">
                  <wp:posOffset>170931</wp:posOffset>
                </wp:positionV>
                <wp:extent cx="5616575" cy="635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56165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6575" h="6350">
                              <a:moveTo>
                                <a:pt x="5615952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615952" y="6108"/>
                              </a:lnTo>
                              <a:lnTo>
                                <a:pt x="5615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900002pt;margin-top:13.459195pt;width:442.201pt;height:.481pt;mso-position-horizontal-relative:page;mso-position-vertical-relative:paragraph;z-index:-15727104;mso-wrap-distance-left:0;mso-wrap-distance-right:0" id="docshape18" filled="true" fillcolor="#000000" stroked="false">
                <v:fill type="solid"/>
                <w10:wrap type="topAndBottom"/>
              </v:rect>
            </w:pict>
          </mc:Fallback>
        </mc:AlternateContent>
      </w:r>
      <w:bookmarkStart w:name="Table 1:  Vacancy Rate for Unit Leases b" w:id="8"/>
      <w:bookmarkEnd w:id="8"/>
      <w:r>
        <w:rPr/>
      </w:r>
      <w:r>
        <w:rPr>
          <w:i/>
          <w:sz w:val="22"/>
        </w:rPr>
        <w:t>Table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1: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Vacancy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Rate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Leases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7"/>
          <w:sz w:val="22"/>
        </w:rPr>
        <w:t> </w:t>
      </w:r>
      <w:r>
        <w:rPr>
          <w:i/>
          <w:spacing w:val="-4"/>
          <w:sz w:val="22"/>
        </w:rPr>
        <w:t>Size</w:t>
      </w:r>
    </w:p>
    <w:p>
      <w:pPr>
        <w:spacing w:before="138" w:after="24"/>
        <w:ind w:left="1" w:right="1191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2025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Survey</w:t>
      </w:r>
      <w:r>
        <w:rPr>
          <w:rFonts w:ascii="Arial"/>
          <w:b/>
          <w:spacing w:val="-9"/>
          <w:sz w:val="16"/>
        </w:rPr>
        <w:t> </w:t>
      </w:r>
      <w:r>
        <w:rPr>
          <w:rFonts w:ascii="Arial"/>
          <w:b/>
          <w:spacing w:val="-2"/>
          <w:sz w:val="16"/>
        </w:rPr>
        <w:t>Results</w:t>
      </w:r>
    </w:p>
    <w:tbl>
      <w:tblPr>
        <w:tblW w:w="0" w:type="auto"/>
        <w:jc w:val="left"/>
        <w:tblInd w:w="2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92"/>
        <w:gridCol w:w="710"/>
        <w:gridCol w:w="192"/>
        <w:gridCol w:w="710"/>
        <w:gridCol w:w="192"/>
        <w:gridCol w:w="710"/>
        <w:gridCol w:w="192"/>
        <w:gridCol w:w="710"/>
        <w:gridCol w:w="192"/>
        <w:gridCol w:w="823"/>
        <w:gridCol w:w="192"/>
        <w:gridCol w:w="904"/>
        <w:gridCol w:w="192"/>
        <w:gridCol w:w="904"/>
        <w:gridCol w:w="619"/>
      </w:tblGrid>
      <w:tr>
        <w:trPr>
          <w:trHeight w:val="195" w:hRule="atLeast"/>
        </w:trPr>
        <w:tc>
          <w:tcPr>
            <w:tcW w:w="3196" w:type="dxa"/>
            <w:gridSpan w:val="5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4" w:type="dxa"/>
            <w:gridSpan w:val="4"/>
            <w:tcBorders>
              <w:top w:val="single" w:sz="8" w:space="0" w:color="000000"/>
            </w:tcBorders>
          </w:tcPr>
          <w:p>
            <w:pPr>
              <w:pStyle w:val="TableParagraph"/>
              <w:spacing w:line="175" w:lineRule="exact"/>
              <w:ind w:left="356"/>
              <w:rPr>
                <w:sz w:val="16"/>
              </w:rPr>
            </w:pPr>
            <w:r>
              <w:rPr>
                <w:sz w:val="16"/>
              </w:rPr>
              <w:t>Number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Vacant</w:t>
            </w:r>
          </w:p>
        </w:tc>
        <w:tc>
          <w:tcPr>
            <w:tcW w:w="1015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5" w:lineRule="exact"/>
              <w:ind w:left="28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2024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5" w:lineRule="exact"/>
              <w:ind w:left="28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2023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8" w:hRule="atLeast"/>
        </w:trPr>
        <w:tc>
          <w:tcPr>
            <w:tcW w:w="3196" w:type="dxa"/>
            <w:gridSpan w:val="5"/>
          </w:tcPr>
          <w:p>
            <w:pPr>
              <w:pStyle w:val="TableParagraph"/>
              <w:spacing w:line="182" w:lineRule="exact"/>
              <w:ind w:left="1741"/>
              <w:rPr>
                <w:sz w:val="16"/>
              </w:rPr>
            </w:pPr>
            <w:r>
              <w:rPr>
                <w:sz w:val="16"/>
              </w:rPr>
              <w:t>Units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Reported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1804" w:type="dxa"/>
            <w:gridSpan w:val="4"/>
          </w:tcPr>
          <w:p>
            <w:pPr>
              <w:pStyle w:val="TableParagraph"/>
              <w:spacing w:line="182" w:lineRule="exact"/>
              <w:ind w:left="349"/>
              <w:rPr>
                <w:sz w:val="16"/>
              </w:rPr>
            </w:pPr>
            <w:r>
              <w:rPr>
                <w:sz w:val="16"/>
              </w:rPr>
              <w:t>Units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Reported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(b)</w:t>
            </w:r>
          </w:p>
        </w:tc>
        <w:tc>
          <w:tcPr>
            <w:tcW w:w="1015" w:type="dxa"/>
            <w:gridSpan w:val="2"/>
          </w:tcPr>
          <w:p>
            <w:pPr>
              <w:pStyle w:val="TableParagraph"/>
              <w:spacing w:line="182" w:lineRule="exact"/>
              <w:ind w:left="301"/>
              <w:rPr>
                <w:sz w:val="16"/>
              </w:rPr>
            </w:pPr>
            <w:r>
              <w:rPr>
                <w:spacing w:val="-2"/>
                <w:sz w:val="16"/>
              </w:rPr>
              <w:t>Vacancy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2" w:lineRule="exact"/>
              <w:ind w:left="149"/>
              <w:rPr>
                <w:sz w:val="16"/>
              </w:rPr>
            </w:pPr>
            <w:r>
              <w:rPr>
                <w:spacing w:val="-2"/>
                <w:sz w:val="16"/>
              </w:rPr>
              <w:t>Vacancy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2" w:lineRule="exact"/>
              <w:ind w:left="149"/>
              <w:rPr>
                <w:sz w:val="16"/>
              </w:rPr>
            </w:pPr>
            <w:r>
              <w:rPr>
                <w:spacing w:val="-2"/>
                <w:sz w:val="16"/>
              </w:rPr>
              <w:t>Vacancy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2" w:hRule="atLeast"/>
        </w:trPr>
        <w:tc>
          <w:tcPr>
            <w:tcW w:w="13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5" w:lineRule="exact"/>
              <w:ind w:left="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Unit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4"/>
                <w:sz w:val="16"/>
              </w:rPr>
              <w:t>Size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75" w:lineRule="exact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Number</w:t>
            </w:r>
          </w:p>
        </w:tc>
        <w:tc>
          <w:tcPr>
            <w:tcW w:w="19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75" w:lineRule="exact"/>
              <w:ind w:right="6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Percent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75" w:lineRule="exact"/>
              <w:ind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Number</w:t>
            </w:r>
          </w:p>
        </w:tc>
        <w:tc>
          <w:tcPr>
            <w:tcW w:w="19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75" w:lineRule="exact"/>
              <w:ind w:right="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Percent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5" w:lineRule="exact"/>
              <w:ind w:left="132"/>
              <w:rPr>
                <w:sz w:val="16"/>
              </w:rPr>
            </w:pPr>
            <w:r>
              <w:rPr>
                <w:sz w:val="16"/>
              </w:rPr>
              <w:t>Rate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(c)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5" w:lineRule="exact"/>
              <w:ind w:left="173"/>
              <w:rPr>
                <w:sz w:val="16"/>
              </w:rPr>
            </w:pPr>
            <w:r>
              <w:rPr>
                <w:sz w:val="16"/>
              </w:rPr>
              <w:t>Rate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(c)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5" w:lineRule="exact"/>
              <w:ind w:left="173"/>
              <w:rPr>
                <w:sz w:val="16"/>
              </w:rPr>
            </w:pPr>
            <w:r>
              <w:rPr>
                <w:sz w:val="16"/>
              </w:rPr>
              <w:t>Rate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(c)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9" w:hRule="atLeast"/>
        </w:trPr>
        <w:tc>
          <w:tcPr>
            <w:tcW w:w="13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0" w:lineRule="exact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Studio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0" w:lineRule="exact"/>
              <w:ind w:right="3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293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0" w:lineRule="exact"/>
              <w:ind w:right="3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4%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0" w:lineRule="exact"/>
              <w:ind w:right="3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0" w:lineRule="exact"/>
              <w:ind w:right="3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1%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0" w:lineRule="exact"/>
              <w:ind w:right="3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0.7%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0" w:lineRule="exact"/>
              <w:ind w:right="3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0" w:lineRule="exact"/>
              <w:ind w:right="3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1392" w:type="dxa"/>
          </w:tcPr>
          <w:p>
            <w:pPr>
              <w:pStyle w:val="TableParagraph"/>
              <w:spacing w:line="182" w:lineRule="exact" w:before="13"/>
              <w:ind w:left="53"/>
              <w:rPr>
                <w:sz w:val="16"/>
              </w:rPr>
            </w:pPr>
            <w:r>
              <w:rPr>
                <w:sz w:val="16"/>
              </w:rPr>
              <w:t>1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182" w:lineRule="exact" w:before="13"/>
              <w:ind w:right="3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2,331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182" w:lineRule="exact" w:before="13"/>
              <w:ind w:right="3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35%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182" w:lineRule="exact" w:before="13"/>
              <w:ind w:right="3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182" w:lineRule="exact" w:before="13"/>
              <w:ind w:right="3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18%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</w:tcPr>
          <w:p>
            <w:pPr>
              <w:pStyle w:val="TableParagraph"/>
              <w:spacing w:line="182" w:lineRule="exact" w:before="13"/>
              <w:ind w:right="3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1.4%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spacing w:line="182" w:lineRule="exact" w:before="13"/>
              <w:ind w:right="3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3.6%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spacing w:line="182" w:lineRule="exact" w:before="13"/>
              <w:ind w:right="3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1.1%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1392" w:type="dxa"/>
          </w:tcPr>
          <w:p>
            <w:pPr>
              <w:pStyle w:val="TableParagraph"/>
              <w:spacing w:line="182" w:lineRule="exact" w:before="13"/>
              <w:ind w:left="53"/>
              <w:rPr>
                <w:sz w:val="16"/>
              </w:rPr>
            </w:pPr>
            <w:r>
              <w:rPr>
                <w:sz w:val="16"/>
              </w:rPr>
              <w:t>2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182" w:lineRule="exact" w:before="13"/>
              <w:ind w:right="3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3,042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182" w:lineRule="exact" w:before="13"/>
              <w:ind w:right="3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45%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182" w:lineRule="exact" w:before="13"/>
              <w:ind w:right="3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182" w:lineRule="exact" w:before="13"/>
              <w:ind w:right="3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51%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</w:tcPr>
          <w:p>
            <w:pPr>
              <w:pStyle w:val="TableParagraph"/>
              <w:spacing w:line="182" w:lineRule="exact" w:before="13"/>
              <w:ind w:right="3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2.9%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spacing w:line="182" w:lineRule="exact" w:before="13"/>
              <w:ind w:right="3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4.7%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spacing w:line="182" w:lineRule="exact" w:before="13"/>
              <w:ind w:right="3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3.2%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1392" w:type="dxa"/>
          </w:tcPr>
          <w:p>
            <w:pPr>
              <w:pStyle w:val="TableParagraph"/>
              <w:spacing w:line="182" w:lineRule="exact" w:before="13"/>
              <w:ind w:left="53"/>
              <w:rPr>
                <w:sz w:val="16"/>
              </w:rPr>
            </w:pPr>
            <w:r>
              <w:rPr>
                <w:sz w:val="16"/>
              </w:rPr>
              <w:t>3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182" w:lineRule="exact" w:before="13"/>
              <w:ind w:right="3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779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182" w:lineRule="exact" w:before="13"/>
              <w:ind w:right="3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12%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182" w:lineRule="exact" w:before="13"/>
              <w:ind w:right="3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spacing w:line="182" w:lineRule="exact" w:before="13"/>
              <w:ind w:right="3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25%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</w:tcPr>
          <w:p>
            <w:pPr>
              <w:pStyle w:val="TableParagraph"/>
              <w:spacing w:line="182" w:lineRule="exact" w:before="13"/>
              <w:ind w:right="3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5.6%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spacing w:line="182" w:lineRule="exact" w:before="13"/>
              <w:ind w:right="3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5.4%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spacing w:line="182" w:lineRule="exact" w:before="13"/>
              <w:ind w:right="3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3.0%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3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8" w:lineRule="exact" w:before="13"/>
              <w:ind w:left="53"/>
              <w:rPr>
                <w:sz w:val="16"/>
              </w:rPr>
            </w:pPr>
            <w:r>
              <w:rPr>
                <w:sz w:val="16"/>
              </w:rPr>
              <w:t>4+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8" w:lineRule="exact" w:before="13"/>
              <w:ind w:right="3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260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8" w:lineRule="exact" w:before="13"/>
              <w:ind w:right="3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4%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8" w:lineRule="exact" w:before="13"/>
              <w:ind w:right="3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8" w:lineRule="exact" w:before="13"/>
              <w:ind w:right="3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5%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8" w:lineRule="exact" w:before="13"/>
              <w:ind w:right="3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3.1%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8" w:lineRule="exact" w:before="13"/>
              <w:ind w:right="3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2.1%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8" w:lineRule="exact" w:before="13"/>
              <w:ind w:right="3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0.7%</w:t>
            </w:r>
          </w:p>
        </w:tc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3" w:hRule="atLeast"/>
        </w:trPr>
        <w:tc>
          <w:tcPr>
            <w:tcW w:w="1392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Total,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All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Sizes</w:t>
            </w:r>
          </w:p>
        </w:tc>
        <w:tc>
          <w:tcPr>
            <w:tcW w:w="19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right="3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6,705</w:t>
            </w:r>
          </w:p>
        </w:tc>
        <w:tc>
          <w:tcPr>
            <w:tcW w:w="19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right="3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100%</w:t>
            </w:r>
          </w:p>
        </w:tc>
        <w:tc>
          <w:tcPr>
            <w:tcW w:w="19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right="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174</w:t>
            </w:r>
          </w:p>
        </w:tc>
        <w:tc>
          <w:tcPr>
            <w:tcW w:w="19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right="3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100%</w:t>
            </w:r>
          </w:p>
        </w:tc>
        <w:tc>
          <w:tcPr>
            <w:tcW w:w="19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right="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2.6%</w:t>
            </w:r>
          </w:p>
        </w:tc>
        <w:tc>
          <w:tcPr>
            <w:tcW w:w="19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4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right="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4.2%</w:t>
            </w:r>
          </w:p>
        </w:tc>
        <w:tc>
          <w:tcPr>
            <w:tcW w:w="19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4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right="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2.3%</w:t>
            </w:r>
          </w:p>
        </w:tc>
        <w:tc>
          <w:tcPr>
            <w:tcW w:w="61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184" w:lineRule="exact" w:before="13"/>
        <w:ind w:left="288" w:right="0" w:firstLine="0"/>
        <w:jc w:val="left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Notes:</w:t>
      </w:r>
    </w:p>
    <w:p>
      <w:pPr>
        <w:pStyle w:val="ListParagraph"/>
        <w:numPr>
          <w:ilvl w:val="0"/>
          <w:numId w:val="1"/>
        </w:numPr>
        <w:tabs>
          <w:tab w:pos="569" w:val="left" w:leader="none"/>
        </w:tabs>
        <w:spacing w:line="240" w:lineRule="auto" w:before="0" w:after="0"/>
        <w:ind w:left="569" w:right="0" w:hanging="281"/>
        <w:jc w:val="both"/>
        <w:rPr>
          <w:sz w:val="16"/>
        </w:rPr>
      </w:pPr>
      <w:r>
        <w:rPr>
          <w:sz w:val="16"/>
        </w:rPr>
        <w:t>Includes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number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units,</w:t>
      </w:r>
      <w:r>
        <w:rPr>
          <w:spacing w:val="-6"/>
          <w:sz w:val="16"/>
        </w:rPr>
        <w:t> </w:t>
      </w:r>
      <w:r>
        <w:rPr>
          <w:sz w:val="16"/>
        </w:rPr>
        <w:t>by</w:t>
      </w:r>
      <w:r>
        <w:rPr>
          <w:spacing w:val="-4"/>
          <w:sz w:val="16"/>
        </w:rPr>
        <w:t> </w:t>
      </w:r>
      <w:r>
        <w:rPr>
          <w:sz w:val="16"/>
        </w:rPr>
        <w:t>unit</w:t>
      </w:r>
      <w:r>
        <w:rPr>
          <w:spacing w:val="-5"/>
          <w:sz w:val="16"/>
        </w:rPr>
        <w:t> </w:t>
      </w:r>
      <w:r>
        <w:rPr>
          <w:sz w:val="16"/>
        </w:rPr>
        <w:t>type,</w:t>
      </w:r>
      <w:r>
        <w:rPr>
          <w:spacing w:val="-6"/>
          <w:sz w:val="16"/>
        </w:rPr>
        <w:t> </w:t>
      </w:r>
      <w:r>
        <w:rPr>
          <w:sz w:val="16"/>
        </w:rPr>
        <w:t>reported</w:t>
      </w:r>
      <w:r>
        <w:rPr>
          <w:spacing w:val="-5"/>
          <w:sz w:val="16"/>
        </w:rPr>
        <w:t> </w:t>
      </w:r>
      <w:r>
        <w:rPr>
          <w:sz w:val="16"/>
        </w:rPr>
        <w:t>by</w:t>
      </w:r>
      <w:r>
        <w:rPr>
          <w:spacing w:val="-5"/>
          <w:sz w:val="16"/>
        </w:rPr>
        <w:t> </w:t>
      </w:r>
      <w:r>
        <w:rPr>
          <w:sz w:val="16"/>
        </w:rPr>
        <w:t>respondents</w:t>
      </w:r>
      <w:r>
        <w:rPr>
          <w:spacing w:val="-4"/>
          <w:sz w:val="16"/>
        </w:rPr>
        <w:t> </w:t>
      </w:r>
      <w:r>
        <w:rPr>
          <w:sz w:val="16"/>
        </w:rPr>
        <w:t>as</w:t>
      </w:r>
      <w:r>
        <w:rPr>
          <w:spacing w:val="-4"/>
          <w:sz w:val="16"/>
        </w:rPr>
        <w:t> </w:t>
      </w:r>
      <w:r>
        <w:rPr>
          <w:sz w:val="16"/>
        </w:rPr>
        <w:t>rented</w:t>
      </w:r>
      <w:r>
        <w:rPr>
          <w:spacing w:val="-6"/>
          <w:sz w:val="16"/>
        </w:rPr>
        <w:t> </w:t>
      </w:r>
      <w:r>
        <w:rPr>
          <w:sz w:val="16"/>
        </w:rPr>
        <w:t>on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6"/>
          <w:sz w:val="16"/>
        </w:rPr>
        <w:t> </w:t>
      </w:r>
      <w:r>
        <w:rPr>
          <w:sz w:val="16"/>
        </w:rPr>
        <w:t>per</w:t>
      </w:r>
      <w:r>
        <w:rPr>
          <w:spacing w:val="-5"/>
          <w:sz w:val="16"/>
        </w:rPr>
        <w:t> </w:t>
      </w:r>
      <w:r>
        <w:rPr>
          <w:sz w:val="16"/>
        </w:rPr>
        <w:t>unit</w:t>
      </w:r>
      <w:r>
        <w:rPr>
          <w:spacing w:val="-5"/>
          <w:sz w:val="16"/>
        </w:rPr>
        <w:t> </w:t>
      </w:r>
      <w:r>
        <w:rPr>
          <w:sz w:val="16"/>
        </w:rPr>
        <w:t>basis</w:t>
      </w:r>
      <w:r>
        <w:rPr>
          <w:spacing w:val="-5"/>
          <w:sz w:val="16"/>
        </w:rPr>
        <w:t> </w:t>
      </w:r>
      <w:r>
        <w:rPr>
          <w:sz w:val="16"/>
        </w:rPr>
        <w:t>(i.e.,</w:t>
      </w:r>
      <w:r>
        <w:rPr>
          <w:spacing w:val="-5"/>
          <w:sz w:val="16"/>
        </w:rPr>
        <w:t> </w:t>
      </w:r>
      <w:r>
        <w:rPr>
          <w:sz w:val="16"/>
        </w:rPr>
        <w:t>unit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lease).</w:t>
      </w:r>
    </w:p>
    <w:p>
      <w:pPr>
        <w:pStyle w:val="ListParagraph"/>
        <w:numPr>
          <w:ilvl w:val="0"/>
          <w:numId w:val="1"/>
        </w:numPr>
        <w:tabs>
          <w:tab w:pos="569" w:val="left" w:leader="none"/>
        </w:tabs>
        <w:spacing w:line="240" w:lineRule="auto" w:before="0" w:after="0"/>
        <w:ind w:left="288" w:right="500" w:firstLine="0"/>
        <w:jc w:val="both"/>
        <w:rPr>
          <w:sz w:val="16"/>
        </w:rPr>
      </w:pPr>
      <w:r>
        <w:rPr>
          <w:sz w:val="16"/>
        </w:rPr>
        <w:t>Includes</w:t>
      </w:r>
      <w:r>
        <w:rPr>
          <w:spacing w:val="-1"/>
          <w:sz w:val="16"/>
        </w:rPr>
        <w:t> </w:t>
      </w:r>
      <w:r>
        <w:rPr>
          <w:sz w:val="16"/>
        </w:rPr>
        <w:t>the number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units</w:t>
      </w:r>
      <w:r>
        <w:rPr>
          <w:spacing w:val="-1"/>
          <w:sz w:val="16"/>
        </w:rPr>
        <w:t> </w:t>
      </w:r>
      <w:r>
        <w:rPr>
          <w:sz w:val="16"/>
        </w:rPr>
        <w:t>reported</w:t>
      </w:r>
      <w:r>
        <w:rPr>
          <w:spacing w:val="-2"/>
          <w:sz w:val="16"/>
        </w:rPr>
        <w:t> </w:t>
      </w:r>
      <w:r>
        <w:rPr>
          <w:sz w:val="16"/>
        </w:rPr>
        <w:t>as</w:t>
      </w:r>
      <w:r>
        <w:rPr>
          <w:spacing w:val="-1"/>
          <w:sz w:val="16"/>
        </w:rPr>
        <w:t> </w:t>
      </w:r>
      <w:r>
        <w:rPr>
          <w:sz w:val="16"/>
        </w:rPr>
        <w:t>vacant,</w:t>
      </w:r>
      <w:r>
        <w:rPr>
          <w:spacing w:val="-2"/>
          <w:sz w:val="16"/>
        </w:rPr>
        <w:t> </w:t>
      </w:r>
      <w:r>
        <w:rPr>
          <w:sz w:val="16"/>
        </w:rPr>
        <w:t>by</w:t>
      </w:r>
      <w:r>
        <w:rPr>
          <w:spacing w:val="-1"/>
          <w:sz w:val="16"/>
        </w:rPr>
        <w:t> </w:t>
      </w:r>
      <w:r>
        <w:rPr>
          <w:sz w:val="16"/>
        </w:rPr>
        <w:t>unit</w:t>
      </w:r>
      <w:r>
        <w:rPr>
          <w:spacing w:val="-2"/>
          <w:sz w:val="16"/>
        </w:rPr>
        <w:t> </w:t>
      </w:r>
      <w:r>
        <w:rPr>
          <w:sz w:val="16"/>
        </w:rPr>
        <w:t>type,</w:t>
      </w:r>
      <w:r>
        <w:rPr>
          <w:spacing w:val="-2"/>
          <w:sz w:val="16"/>
        </w:rPr>
        <w:t> </w:t>
      </w:r>
      <w:r>
        <w:rPr>
          <w:sz w:val="16"/>
        </w:rPr>
        <w:t>as</w:t>
      </w:r>
      <w:r>
        <w:rPr>
          <w:spacing w:val="-1"/>
          <w:sz w:val="16"/>
        </w:rPr>
        <w:t> </w:t>
      </w:r>
      <w:r>
        <w:rPr>
          <w:sz w:val="16"/>
        </w:rPr>
        <w:t>reported</w:t>
      </w:r>
      <w:r>
        <w:rPr>
          <w:spacing w:val="-2"/>
          <w:sz w:val="16"/>
        </w:rPr>
        <w:t> </w:t>
      </w:r>
      <w:r>
        <w:rPr>
          <w:sz w:val="16"/>
        </w:rPr>
        <w:t>by</w:t>
      </w:r>
      <w:r>
        <w:rPr>
          <w:spacing w:val="-1"/>
          <w:sz w:val="16"/>
        </w:rPr>
        <w:t> </w:t>
      </w:r>
      <w:r>
        <w:rPr>
          <w:sz w:val="16"/>
        </w:rPr>
        <w:t>survey</w:t>
      </w:r>
      <w:r>
        <w:rPr>
          <w:spacing w:val="-1"/>
          <w:sz w:val="16"/>
        </w:rPr>
        <w:t> </w:t>
      </w:r>
      <w:r>
        <w:rPr>
          <w:sz w:val="16"/>
        </w:rPr>
        <w:t>respondents. May</w:t>
      </w:r>
      <w:r>
        <w:rPr>
          <w:spacing w:val="-1"/>
          <w:sz w:val="16"/>
        </w:rPr>
        <w:t> </w:t>
      </w:r>
      <w:r>
        <w:rPr>
          <w:sz w:val="16"/>
        </w:rPr>
        <w:t>exclude</w:t>
      </w:r>
      <w:r>
        <w:rPr>
          <w:spacing w:val="-2"/>
          <w:sz w:val="16"/>
        </w:rPr>
        <w:t> </w:t>
      </w:r>
      <w:r>
        <w:rPr>
          <w:sz w:val="16"/>
        </w:rPr>
        <w:t>some units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cases</w:t>
      </w:r>
      <w:r>
        <w:rPr>
          <w:spacing w:val="-2"/>
          <w:sz w:val="16"/>
        </w:rPr>
        <w:t> </w:t>
      </w:r>
      <w:r>
        <w:rPr>
          <w:sz w:val="16"/>
        </w:rPr>
        <w:t>where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survey</w:t>
      </w:r>
      <w:r>
        <w:rPr>
          <w:spacing w:val="-2"/>
          <w:sz w:val="16"/>
        </w:rPr>
        <w:t> </w:t>
      </w:r>
      <w:r>
        <w:rPr>
          <w:sz w:val="16"/>
        </w:rPr>
        <w:t>respondent</w:t>
      </w:r>
      <w:r>
        <w:rPr>
          <w:spacing w:val="-3"/>
          <w:sz w:val="16"/>
        </w:rPr>
        <w:t> </w:t>
      </w:r>
      <w:r>
        <w:rPr>
          <w:sz w:val="16"/>
        </w:rPr>
        <w:t>reported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total</w:t>
      </w:r>
      <w:r>
        <w:rPr>
          <w:spacing w:val="-2"/>
          <w:sz w:val="16"/>
        </w:rPr>
        <w:t> </w:t>
      </w:r>
      <w:r>
        <w:rPr>
          <w:sz w:val="16"/>
        </w:rPr>
        <w:t>number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units</w:t>
      </w:r>
      <w:r>
        <w:rPr>
          <w:spacing w:val="-2"/>
          <w:sz w:val="16"/>
        </w:rPr>
        <w:t> </w:t>
      </w:r>
      <w:r>
        <w:rPr>
          <w:sz w:val="16"/>
        </w:rPr>
        <w:t>but</w:t>
      </w:r>
      <w:r>
        <w:rPr>
          <w:spacing w:val="-3"/>
          <w:sz w:val="16"/>
        </w:rPr>
        <w:t> </w:t>
      </w:r>
      <w:r>
        <w:rPr>
          <w:sz w:val="16"/>
        </w:rPr>
        <w:t>did</w:t>
      </w:r>
      <w:r>
        <w:rPr>
          <w:spacing w:val="-1"/>
          <w:sz w:val="16"/>
        </w:rPr>
        <w:t> </w:t>
      </w:r>
      <w:r>
        <w:rPr>
          <w:sz w:val="16"/>
        </w:rPr>
        <w:t>not</w:t>
      </w:r>
      <w:r>
        <w:rPr>
          <w:spacing w:val="-3"/>
          <w:sz w:val="16"/>
        </w:rPr>
        <w:t> </w:t>
      </w:r>
      <w:r>
        <w:rPr>
          <w:sz w:val="16"/>
        </w:rPr>
        <w:t>report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associated</w:t>
      </w:r>
      <w:r>
        <w:rPr>
          <w:spacing w:val="-3"/>
          <w:sz w:val="16"/>
        </w:rPr>
        <w:t> </w:t>
      </w:r>
      <w:r>
        <w:rPr>
          <w:sz w:val="16"/>
        </w:rPr>
        <w:t>number</w:t>
      </w:r>
      <w:r>
        <w:rPr>
          <w:spacing w:val="-2"/>
          <w:sz w:val="16"/>
        </w:rPr>
        <w:t> </w:t>
      </w:r>
      <w:r>
        <w:rPr>
          <w:sz w:val="16"/>
        </w:rPr>
        <w:t>of vacant units.</w:t>
      </w:r>
    </w:p>
    <w:p>
      <w:pPr>
        <w:pStyle w:val="ListParagraph"/>
        <w:numPr>
          <w:ilvl w:val="0"/>
          <w:numId w:val="1"/>
        </w:numPr>
        <w:tabs>
          <w:tab w:pos="561" w:val="left" w:leader="none"/>
        </w:tabs>
        <w:spacing w:line="240" w:lineRule="auto" w:before="0" w:after="0"/>
        <w:ind w:left="288" w:right="518" w:firstLine="0"/>
        <w:jc w:val="both"/>
        <w:rPr>
          <w:sz w:val="16"/>
        </w:rPr>
      </w:pP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vacancy</w:t>
      </w:r>
      <w:r>
        <w:rPr>
          <w:spacing w:val="-2"/>
          <w:sz w:val="16"/>
        </w:rPr>
        <w:t> </w:t>
      </w:r>
      <w:r>
        <w:rPr>
          <w:sz w:val="16"/>
        </w:rPr>
        <w:t>rate</w:t>
      </w:r>
      <w:r>
        <w:rPr>
          <w:spacing w:val="-3"/>
          <w:sz w:val="16"/>
        </w:rPr>
        <w:t> </w:t>
      </w:r>
      <w:r>
        <w:rPr>
          <w:sz w:val="16"/>
        </w:rPr>
        <w:t>for</w:t>
      </w:r>
      <w:r>
        <w:rPr>
          <w:spacing w:val="-2"/>
          <w:sz w:val="16"/>
        </w:rPr>
        <w:t> </w:t>
      </w:r>
      <w:r>
        <w:rPr>
          <w:sz w:val="16"/>
        </w:rPr>
        <w:t>unit-leased</w:t>
      </w:r>
      <w:r>
        <w:rPr>
          <w:spacing w:val="-3"/>
          <w:sz w:val="16"/>
        </w:rPr>
        <w:t> </w:t>
      </w:r>
      <w:r>
        <w:rPr>
          <w:sz w:val="16"/>
        </w:rPr>
        <w:t>apartments</w:t>
      </w:r>
      <w:r>
        <w:rPr>
          <w:spacing w:val="-2"/>
          <w:sz w:val="16"/>
        </w:rPr>
        <w:t> </w:t>
      </w:r>
      <w:r>
        <w:rPr>
          <w:sz w:val="16"/>
        </w:rPr>
        <w:t>was</w:t>
      </w:r>
      <w:r>
        <w:rPr>
          <w:spacing w:val="-2"/>
          <w:sz w:val="16"/>
        </w:rPr>
        <w:t> </w:t>
      </w:r>
      <w:r>
        <w:rPr>
          <w:sz w:val="16"/>
        </w:rPr>
        <w:t>calculated</w:t>
      </w:r>
      <w:r>
        <w:rPr>
          <w:spacing w:val="-3"/>
          <w:sz w:val="16"/>
        </w:rPr>
        <w:t> </w:t>
      </w:r>
      <w:r>
        <w:rPr>
          <w:sz w:val="16"/>
        </w:rPr>
        <w:t>based</w:t>
      </w:r>
      <w:r>
        <w:rPr>
          <w:spacing w:val="-3"/>
          <w:sz w:val="16"/>
        </w:rPr>
        <w:t> </w:t>
      </w:r>
      <w:r>
        <w:rPr>
          <w:sz w:val="16"/>
        </w:rPr>
        <w:t>on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number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leased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1"/>
          <w:sz w:val="16"/>
        </w:rPr>
        <w:t> </w:t>
      </w:r>
      <w:r>
        <w:rPr>
          <w:sz w:val="16"/>
        </w:rPr>
        <w:t>vacant</w:t>
      </w:r>
      <w:r>
        <w:rPr>
          <w:spacing w:val="-3"/>
          <w:sz w:val="16"/>
        </w:rPr>
        <w:t> </w:t>
      </w:r>
      <w:r>
        <w:rPr>
          <w:sz w:val="16"/>
        </w:rPr>
        <w:t>units</w:t>
      </w:r>
      <w:r>
        <w:rPr>
          <w:spacing w:val="-2"/>
          <w:sz w:val="16"/>
        </w:rPr>
        <w:t> </w:t>
      </w:r>
      <w:r>
        <w:rPr>
          <w:sz w:val="16"/>
        </w:rPr>
        <w:t>only,</w:t>
      </w:r>
      <w:r>
        <w:rPr>
          <w:spacing w:val="-3"/>
          <w:sz w:val="16"/>
        </w:rPr>
        <w:t> </w:t>
      </w:r>
      <w:r>
        <w:rPr>
          <w:sz w:val="16"/>
        </w:rPr>
        <w:t>as reported by survey respondents.</w:t>
      </w:r>
    </w:p>
    <w:p>
      <w:pPr>
        <w:pStyle w:val="BodyText"/>
        <w:rPr>
          <w:rFonts w:ascii="Arial MT"/>
          <w:sz w:val="16"/>
        </w:rPr>
      </w:pPr>
    </w:p>
    <w:p>
      <w:pPr>
        <w:spacing w:before="0"/>
        <w:ind w:left="288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Source:</w:t>
      </w:r>
      <w:r>
        <w:rPr>
          <w:rFonts w:ascii="Arial MT"/>
          <w:spacing w:val="36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5"/>
          <w:sz w:val="16"/>
        </w:rPr>
        <w:t> </w:t>
      </w:r>
      <w:r>
        <w:rPr>
          <w:rFonts w:ascii="Arial MT"/>
          <w:spacing w:val="-4"/>
          <w:sz w:val="16"/>
        </w:rPr>
        <w:t>2025.</w:t>
      </w:r>
    </w:p>
    <w:p>
      <w:pPr>
        <w:pStyle w:val="BodyText"/>
        <w:spacing w:before="56"/>
        <w:rPr>
          <w:rFonts w:ascii="Arial MT"/>
          <w:sz w:val="16"/>
        </w:rPr>
      </w:pPr>
    </w:p>
    <w:p>
      <w:pPr>
        <w:pStyle w:val="Heading1"/>
        <w:spacing w:before="1"/>
      </w:pPr>
      <w:r>
        <w:rPr>
          <w:spacing w:val="-5"/>
        </w:rPr>
        <w:t>Bed</w:t>
      </w:r>
      <w:r>
        <w:rPr>
          <w:spacing w:val="-9"/>
        </w:rPr>
        <w:t> </w:t>
      </w:r>
      <w:r>
        <w:rPr>
          <w:spacing w:val="-2"/>
        </w:rPr>
        <w:t>Leases</w:t>
      </w:r>
    </w:p>
    <w:p>
      <w:pPr>
        <w:pStyle w:val="BodyText"/>
        <w:spacing w:line="288" w:lineRule="auto" w:before="48"/>
        <w:ind w:left="287" w:right="288"/>
      </w:pPr>
      <w:r>
        <w:rPr/>
        <w:t>Of the 10,369 market-rate apartment units reported by survey respondents, 3,664 units (35 percent)</w:t>
      </w:r>
      <w:r>
        <w:rPr>
          <w:spacing w:val="-11"/>
        </w:rPr>
        <w:t> </w:t>
      </w:r>
      <w:r>
        <w:rPr/>
        <w:t>were</w:t>
      </w:r>
      <w:r>
        <w:rPr>
          <w:spacing w:val="-12"/>
        </w:rPr>
        <w:t> </w:t>
      </w:r>
      <w:r>
        <w:rPr/>
        <w:t>reportedly</w:t>
      </w:r>
      <w:r>
        <w:rPr>
          <w:spacing w:val="-11"/>
        </w:rPr>
        <w:t> </w:t>
      </w:r>
      <w:r>
        <w:rPr/>
        <w:t>rented</w:t>
      </w:r>
      <w:r>
        <w:rPr>
          <w:spacing w:val="-11"/>
        </w:rPr>
        <w:t> </w:t>
      </w:r>
      <w:r>
        <w:rPr/>
        <w:t>under</w:t>
      </w:r>
      <w:r>
        <w:rPr>
          <w:spacing w:val="-11"/>
        </w:rPr>
        <w:t> </w:t>
      </w:r>
      <w:r>
        <w:rPr/>
        <w:t>bed</w:t>
      </w:r>
      <w:r>
        <w:rPr>
          <w:spacing w:val="-11"/>
        </w:rPr>
        <w:t> </w:t>
      </w:r>
      <w:r>
        <w:rPr/>
        <w:t>lease</w:t>
      </w:r>
      <w:r>
        <w:rPr>
          <w:spacing w:val="-12"/>
        </w:rPr>
        <w:t> </w:t>
      </w:r>
      <w:r>
        <w:rPr/>
        <w:t>arrangements.</w:t>
      </w:r>
      <w:r>
        <w:rPr>
          <w:spacing w:val="-11"/>
        </w:rPr>
        <w:t> </w:t>
      </w:r>
      <w:r>
        <w:rPr/>
        <w:t>This</w:t>
      </w:r>
      <w:r>
        <w:rPr>
          <w:spacing w:val="-11"/>
        </w:rPr>
        <w:t> </w:t>
      </w:r>
      <w:r>
        <w:rPr/>
        <w:t>represents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decrease</w:t>
      </w:r>
      <w:r>
        <w:rPr>
          <w:spacing w:val="-12"/>
        </w:rPr>
        <w:t> </w:t>
      </w:r>
      <w:r>
        <w:rPr/>
        <w:t>of just 10 units relative to the number of bed lease units reported in the 2024 survey, but a significant</w:t>
      </w:r>
      <w:r>
        <w:rPr>
          <w:spacing w:val="-4"/>
        </w:rPr>
        <w:t> </w:t>
      </w:r>
      <w:r>
        <w:rPr/>
        <w:t>increase</w:t>
      </w:r>
      <w:r>
        <w:rPr>
          <w:spacing w:val="-4"/>
        </w:rPr>
        <w:t> </w:t>
      </w:r>
      <w:r>
        <w:rPr/>
        <w:t>over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2023</w:t>
      </w:r>
      <w:r>
        <w:rPr>
          <w:spacing w:val="-3"/>
        </w:rPr>
        <w:t> </w:t>
      </w:r>
      <w:r>
        <w:rPr/>
        <w:t>results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preceding</w:t>
      </w:r>
      <w:r>
        <w:rPr>
          <w:spacing w:val="-4"/>
        </w:rPr>
        <w:t> </w:t>
      </w:r>
      <w:r>
        <w:rPr/>
        <w:t>survey</w:t>
      </w:r>
      <w:r>
        <w:rPr>
          <w:spacing w:val="-3"/>
        </w:rPr>
        <w:t> </w:t>
      </w:r>
      <w:r>
        <w:rPr/>
        <w:t>periods.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recent</w:t>
      </w:r>
      <w:r>
        <w:rPr>
          <w:spacing w:val="-4"/>
        </w:rPr>
        <w:t> </w:t>
      </w:r>
      <w:r>
        <w:rPr/>
        <w:t>increase in</w:t>
      </w:r>
      <w:r>
        <w:rPr>
          <w:spacing w:val="-2"/>
        </w:rPr>
        <w:t> </w:t>
      </w:r>
      <w:r>
        <w:rPr/>
        <w:t>bed</w:t>
      </w:r>
      <w:r>
        <w:rPr>
          <w:spacing w:val="-1"/>
        </w:rPr>
        <w:t> </w:t>
      </w:r>
      <w:r>
        <w:rPr/>
        <w:t>lease units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primarily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result of</w:t>
      </w:r>
      <w:r>
        <w:rPr>
          <w:spacing w:val="-1"/>
        </w:rPr>
        <w:t> </w:t>
      </w:r>
      <w:r>
        <w:rPr/>
        <w:t>new</w:t>
      </w:r>
      <w:r>
        <w:rPr>
          <w:spacing w:val="-1"/>
        </w:rPr>
        <w:t> </w:t>
      </w:r>
      <w:r>
        <w:rPr/>
        <w:t>construction,</w:t>
      </w:r>
      <w:r>
        <w:rPr>
          <w:spacing w:val="-1"/>
        </w:rPr>
        <w:t> </w:t>
      </w:r>
      <w:r>
        <w:rPr/>
        <w:t>expansion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existing</w:t>
      </w:r>
      <w:r>
        <w:rPr>
          <w:spacing w:val="-1"/>
        </w:rPr>
        <w:t> </w:t>
      </w:r>
      <w:r>
        <w:rPr/>
        <w:t>bed-leasing properties, and conversion of previously unit-leased properties to by-the-bed leasing, both within the City of Davis and on the UC Davis campus.</w:t>
      </w:r>
    </w:p>
    <w:p>
      <w:pPr>
        <w:pStyle w:val="BodyText"/>
        <w:spacing w:before="55"/>
      </w:pPr>
    </w:p>
    <w:p>
      <w:pPr>
        <w:pStyle w:val="BodyText"/>
        <w:spacing w:line="288" w:lineRule="auto"/>
        <w:ind w:left="286" w:right="352"/>
      </w:pPr>
      <w:r>
        <w:rPr/>
        <w:t>Figure</w:t>
      </w:r>
      <w:r>
        <w:rPr>
          <w:spacing w:val="-11"/>
        </w:rPr>
        <w:t> </w:t>
      </w:r>
      <w:r>
        <w:rPr/>
        <w:t>3,</w:t>
      </w:r>
      <w:r>
        <w:rPr>
          <w:spacing w:val="-11"/>
        </w:rPr>
        <w:t> </w:t>
      </w:r>
      <w:r>
        <w:rPr/>
        <w:t>on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following</w:t>
      </w:r>
      <w:r>
        <w:rPr>
          <w:spacing w:val="-11"/>
        </w:rPr>
        <w:t> </w:t>
      </w:r>
      <w:r>
        <w:rPr/>
        <w:t>page,</w:t>
      </w:r>
      <w:r>
        <w:rPr>
          <w:spacing w:val="-11"/>
        </w:rPr>
        <w:t> </w:t>
      </w:r>
      <w:r>
        <w:rPr/>
        <w:t>below</w:t>
      </w:r>
      <w:r>
        <w:rPr>
          <w:spacing w:val="-11"/>
        </w:rPr>
        <w:t> </w:t>
      </w:r>
      <w:r>
        <w:rPr/>
        <w:t>illustrates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distribution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bed</w:t>
      </w:r>
      <w:r>
        <w:rPr>
          <w:spacing w:val="-11"/>
        </w:rPr>
        <w:t> </w:t>
      </w:r>
      <w:r>
        <w:rPr/>
        <w:t>leases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bed-leased units,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unit</w:t>
      </w:r>
      <w:r>
        <w:rPr>
          <w:spacing w:val="-4"/>
        </w:rPr>
        <w:t> </w:t>
      </w:r>
      <w:r>
        <w:rPr/>
        <w:t>size,</w:t>
      </w:r>
      <w:r>
        <w:rPr>
          <w:spacing w:val="-4"/>
        </w:rPr>
        <w:t> </w:t>
      </w:r>
      <w:r>
        <w:rPr/>
        <w:t>which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also</w:t>
      </w:r>
      <w:r>
        <w:rPr>
          <w:spacing w:val="-4"/>
        </w:rPr>
        <w:t> </w:t>
      </w:r>
      <w:r>
        <w:rPr/>
        <w:t>reported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Table</w:t>
      </w:r>
      <w:r>
        <w:rPr>
          <w:spacing w:val="-3"/>
        </w:rPr>
        <w:t> </w:t>
      </w:r>
      <w:r>
        <w:rPr/>
        <w:t>2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Page</w:t>
      </w:r>
      <w:r>
        <w:rPr>
          <w:spacing w:val="-5"/>
        </w:rPr>
        <w:t> </w:t>
      </w:r>
      <w:r>
        <w:rPr/>
        <w:t>6.</w:t>
      </w:r>
      <w:r>
        <w:rPr>
          <w:spacing w:val="-3"/>
        </w:rPr>
        <w:t> </w:t>
      </w:r>
      <w:r>
        <w:rPr/>
        <w:t>Most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bed-leased</w:t>
      </w:r>
      <w:r>
        <w:rPr>
          <w:spacing w:val="-4"/>
        </w:rPr>
        <w:t> </w:t>
      </w:r>
      <w:r>
        <w:rPr/>
        <w:t>units, nearly</w:t>
      </w:r>
      <w:r>
        <w:rPr>
          <w:spacing w:val="-16"/>
        </w:rPr>
        <w:t> </w:t>
      </w:r>
      <w:r>
        <w:rPr/>
        <w:t>65</w:t>
      </w:r>
      <w:r>
        <w:rPr>
          <w:spacing w:val="-14"/>
        </w:rPr>
        <w:t> </w:t>
      </w:r>
      <w:r>
        <w:rPr/>
        <w:t>percent,</w:t>
      </w:r>
      <w:r>
        <w:rPr>
          <w:spacing w:val="-14"/>
        </w:rPr>
        <w:t> </w:t>
      </w:r>
      <w:r>
        <w:rPr/>
        <w:t>are</w:t>
      </w:r>
      <w:r>
        <w:rPr>
          <w:spacing w:val="-13"/>
        </w:rPr>
        <w:t> </w:t>
      </w:r>
      <w:r>
        <w:rPr/>
        <w:t>either</w:t>
      </w:r>
      <w:r>
        <w:rPr>
          <w:spacing w:val="-14"/>
        </w:rPr>
        <w:t> </w:t>
      </w:r>
      <w:r>
        <w:rPr/>
        <w:t>two-bedroom</w:t>
      </w:r>
      <w:r>
        <w:rPr>
          <w:spacing w:val="-14"/>
        </w:rPr>
        <w:t> </w:t>
      </w:r>
      <w:r>
        <w:rPr/>
        <w:t>or</w:t>
      </w:r>
      <w:r>
        <w:rPr>
          <w:spacing w:val="-14"/>
        </w:rPr>
        <w:t> </w:t>
      </w:r>
      <w:r>
        <w:rPr/>
        <w:t>four-bedroom</w:t>
      </w:r>
      <w:r>
        <w:rPr>
          <w:spacing w:val="-13"/>
        </w:rPr>
        <w:t> </w:t>
      </w:r>
      <w:r>
        <w:rPr/>
        <w:t>units.</w:t>
      </w:r>
      <w:r>
        <w:rPr>
          <w:spacing w:val="-14"/>
        </w:rPr>
        <w:t> </w:t>
      </w:r>
      <w:r>
        <w:rPr/>
        <w:t>Two-bedroom</w:t>
      </w:r>
      <w:r>
        <w:rPr>
          <w:spacing w:val="-14"/>
        </w:rPr>
        <w:t> </w:t>
      </w:r>
      <w:r>
        <w:rPr/>
        <w:t>units</w:t>
      </w:r>
      <w:r>
        <w:rPr>
          <w:spacing w:val="-14"/>
        </w:rPr>
        <w:t> </w:t>
      </w:r>
      <w:r>
        <w:rPr/>
        <w:t>were</w:t>
      </w:r>
      <w:r>
        <w:rPr>
          <w:spacing w:val="-13"/>
        </w:rPr>
        <w:t> </w:t>
      </w:r>
      <w:r>
        <w:rPr/>
        <w:t>the most</w:t>
      </w:r>
      <w:r>
        <w:rPr>
          <w:spacing w:val="-2"/>
        </w:rPr>
        <w:t> </w:t>
      </w:r>
      <w:r>
        <w:rPr/>
        <w:t>common,</w:t>
      </w:r>
      <w:r>
        <w:rPr>
          <w:spacing w:val="-1"/>
        </w:rPr>
        <w:t> </w:t>
      </w:r>
      <w:r>
        <w:rPr/>
        <w:t>accounting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34</w:t>
      </w:r>
      <w:r>
        <w:rPr>
          <w:spacing w:val="-2"/>
        </w:rPr>
        <w:t> </w:t>
      </w:r>
      <w:r>
        <w:rPr/>
        <w:t>percent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total.</w:t>
      </w:r>
      <w:r>
        <w:rPr>
          <w:spacing w:val="-1"/>
        </w:rPr>
        <w:t> </w:t>
      </w:r>
      <w:r>
        <w:rPr/>
        <w:t>Four-bedroom</w:t>
      </w:r>
      <w:r>
        <w:rPr>
          <w:spacing w:val="-1"/>
        </w:rPr>
        <w:t> </w:t>
      </w:r>
      <w:r>
        <w:rPr/>
        <w:t>units</w:t>
      </w:r>
      <w:r>
        <w:rPr>
          <w:spacing w:val="-1"/>
        </w:rPr>
        <w:t> </w:t>
      </w:r>
      <w:r>
        <w:rPr/>
        <w:t>accounted</w:t>
      </w:r>
      <w:r>
        <w:rPr>
          <w:spacing w:val="-1"/>
        </w:rPr>
        <w:t> </w:t>
      </w:r>
      <w:r>
        <w:rPr/>
        <w:t>for 31 percent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bed-leased</w:t>
      </w:r>
      <w:r>
        <w:rPr>
          <w:spacing w:val="-6"/>
        </w:rPr>
        <w:t> </w:t>
      </w:r>
      <w:r>
        <w:rPr/>
        <w:t>units,</w:t>
      </w:r>
      <w:r>
        <w:rPr>
          <w:spacing w:val="-6"/>
        </w:rPr>
        <w:t> </w:t>
      </w:r>
      <w:r>
        <w:rPr/>
        <w:t>while</w:t>
      </w:r>
      <w:r>
        <w:rPr>
          <w:spacing w:val="-7"/>
        </w:rPr>
        <w:t> </w:t>
      </w:r>
      <w:r>
        <w:rPr/>
        <w:t>three-bedroom</w:t>
      </w:r>
      <w:r>
        <w:rPr>
          <w:spacing w:val="-5"/>
        </w:rPr>
        <w:t> </w:t>
      </w:r>
      <w:r>
        <w:rPr/>
        <w:t>units</w:t>
      </w:r>
      <w:r>
        <w:rPr>
          <w:spacing w:val="-6"/>
        </w:rPr>
        <w:t> </w:t>
      </w:r>
      <w:r>
        <w:rPr/>
        <w:t>comprised</w:t>
      </w:r>
      <w:r>
        <w:rPr>
          <w:spacing w:val="-6"/>
        </w:rPr>
        <w:t> </w:t>
      </w:r>
      <w:r>
        <w:rPr/>
        <w:t>only</w:t>
      </w:r>
      <w:r>
        <w:rPr>
          <w:spacing w:val="-6"/>
        </w:rPr>
        <w:t> </w:t>
      </w:r>
      <w:r>
        <w:rPr/>
        <w:t>11</w:t>
      </w:r>
      <w:r>
        <w:rPr>
          <w:spacing w:val="-5"/>
        </w:rPr>
        <w:t> </w:t>
      </w:r>
      <w:r>
        <w:rPr/>
        <w:t>percent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bed-leased</w:t>
      </w:r>
      <w:r>
        <w:rPr>
          <w:spacing w:val="-7"/>
        </w:rPr>
        <w:t> </w:t>
      </w:r>
      <w:r>
        <w:rPr/>
        <w:t>unit</w:t>
      </w:r>
      <w:r>
        <w:rPr>
          <w:spacing w:val="-8"/>
        </w:rPr>
        <w:t> </w:t>
      </w:r>
      <w:r>
        <w:rPr/>
        <w:t>inventory.</w:t>
      </w:r>
      <w:r>
        <w:rPr>
          <w:spacing w:val="-7"/>
        </w:rPr>
        <w:t> </w:t>
      </w:r>
      <w:r>
        <w:rPr/>
        <w:t>Studio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one-bedroom</w:t>
      </w:r>
      <w:r>
        <w:rPr>
          <w:spacing w:val="-7"/>
        </w:rPr>
        <w:t> </w:t>
      </w:r>
      <w:r>
        <w:rPr/>
        <w:t>units</w:t>
      </w:r>
      <w:r>
        <w:rPr>
          <w:spacing w:val="-7"/>
        </w:rPr>
        <w:t> </w:t>
      </w:r>
      <w:r>
        <w:rPr/>
        <w:t>accounted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remaining</w:t>
      </w:r>
      <w:r>
        <w:rPr>
          <w:spacing w:val="-7"/>
        </w:rPr>
        <w:t> </w:t>
      </w:r>
      <w:r>
        <w:rPr/>
        <w:t>24</w:t>
      </w:r>
      <w:r>
        <w:rPr>
          <w:spacing w:val="-8"/>
        </w:rPr>
        <w:t> </w:t>
      </w:r>
      <w:r>
        <w:rPr/>
        <w:t>percent.</w:t>
      </w:r>
    </w:p>
    <w:p>
      <w:pPr>
        <w:pStyle w:val="BodyText"/>
        <w:spacing w:after="0" w:line="288" w:lineRule="auto"/>
        <w:sectPr>
          <w:pgSz w:w="12240" w:h="15840"/>
          <w:pgMar w:header="0" w:footer="794" w:top="1700" w:bottom="980" w:left="1440" w:right="1440"/>
        </w:sectPr>
      </w:pPr>
    </w:p>
    <w:p>
      <w:pPr>
        <w:pStyle w:val="BodyText"/>
        <w:spacing w:line="288" w:lineRule="auto" w:before="78"/>
        <w:ind w:left="287" w:right="288"/>
      </w:pPr>
      <w:r>
        <w:rPr/>
        <w:t>Survey respondents reported a total of 10,329 leasable beds.</w:t>
      </w:r>
      <w:r>
        <w:rPr>
          <w:spacing w:val="40"/>
        </w:rPr>
        <w:t> </w:t>
      </w:r>
      <w:r>
        <w:rPr/>
        <w:t>This is a very slight decrease from the 10,579 leasable beds reported in the 2024 survey, but an increase of roughly 29 percent</w:t>
      </w:r>
      <w:r>
        <w:rPr>
          <w:spacing w:val="-6"/>
        </w:rPr>
        <w:t> </w:t>
      </w:r>
      <w:r>
        <w:rPr/>
        <w:t>relative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7,988</w:t>
      </w:r>
      <w:r>
        <w:rPr>
          <w:spacing w:val="-7"/>
        </w:rPr>
        <w:t> </w:t>
      </w:r>
      <w:r>
        <w:rPr/>
        <w:t>reported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2023.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distribution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leasable</w:t>
      </w:r>
      <w:r>
        <w:rPr>
          <w:spacing w:val="-6"/>
        </w:rPr>
        <w:t> </w:t>
      </w:r>
      <w:r>
        <w:rPr/>
        <w:t>beds,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unit</w:t>
      </w:r>
      <w:r>
        <w:rPr>
          <w:spacing w:val="-7"/>
        </w:rPr>
        <w:t> </w:t>
      </w:r>
      <w:r>
        <w:rPr/>
        <w:t>size, reflects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distribution</w:t>
      </w:r>
      <w:r>
        <w:rPr>
          <w:spacing w:val="-6"/>
        </w:rPr>
        <w:t> </w:t>
      </w:r>
      <w:r>
        <w:rPr/>
        <w:t>similar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that</w:t>
      </w:r>
      <w:r>
        <w:rPr>
          <w:spacing w:val="-6"/>
        </w:rPr>
        <w:t> </w:t>
      </w:r>
      <w:r>
        <w:rPr/>
        <w:t>shown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bed-leased</w:t>
      </w:r>
      <w:r>
        <w:rPr>
          <w:spacing w:val="-5"/>
        </w:rPr>
        <w:t> </w:t>
      </w:r>
      <w:r>
        <w:rPr/>
        <w:t>units.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shown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/>
        <w:t>Figure</w:t>
      </w:r>
      <w:r>
        <w:rPr>
          <w:spacing w:val="-4"/>
        </w:rPr>
        <w:t> </w:t>
      </w:r>
      <w:r>
        <w:rPr/>
        <w:t>3,</w:t>
      </w:r>
      <w:r>
        <w:rPr>
          <w:spacing w:val="-5"/>
        </w:rPr>
        <w:t> </w:t>
      </w:r>
      <w:r>
        <w:rPr/>
        <w:t>half</w:t>
      </w:r>
      <w:r>
        <w:rPr>
          <w:spacing w:val="-4"/>
        </w:rPr>
        <w:t> </w:t>
      </w:r>
      <w:r>
        <w:rPr/>
        <w:t>of the</w:t>
      </w:r>
      <w:r>
        <w:rPr>
          <w:spacing w:val="-12"/>
        </w:rPr>
        <w:t> </w:t>
      </w:r>
      <w:r>
        <w:rPr/>
        <w:t>leased</w:t>
      </w:r>
      <w:r>
        <w:rPr>
          <w:spacing w:val="-11"/>
        </w:rPr>
        <w:t> </w:t>
      </w:r>
      <w:r>
        <w:rPr/>
        <w:t>beds</w:t>
      </w:r>
      <w:r>
        <w:rPr>
          <w:spacing w:val="-11"/>
        </w:rPr>
        <w:t> </w:t>
      </w:r>
      <w:r>
        <w:rPr/>
        <w:t>were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four-bedroom</w:t>
      </w:r>
      <w:r>
        <w:rPr>
          <w:spacing w:val="-10"/>
        </w:rPr>
        <w:t> </w:t>
      </w:r>
      <w:r>
        <w:rPr/>
        <w:t>units,</w:t>
      </w:r>
      <w:r>
        <w:rPr>
          <w:spacing w:val="-11"/>
        </w:rPr>
        <w:t> </w:t>
      </w:r>
      <w:r>
        <w:rPr/>
        <w:t>while</w:t>
      </w:r>
      <w:r>
        <w:rPr>
          <w:spacing w:val="-10"/>
        </w:rPr>
        <w:t> </w:t>
      </w:r>
      <w:r>
        <w:rPr/>
        <w:t>26</w:t>
      </w:r>
      <w:r>
        <w:rPr>
          <w:spacing w:val="-12"/>
        </w:rPr>
        <w:t> </w:t>
      </w:r>
      <w:r>
        <w:rPr/>
        <w:t>percent</w:t>
      </w:r>
      <w:r>
        <w:rPr>
          <w:spacing w:val="-12"/>
        </w:rPr>
        <w:t> </w:t>
      </w:r>
      <w:r>
        <w:rPr/>
        <w:t>were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two-bedroom</w:t>
      </w:r>
      <w:r>
        <w:rPr>
          <w:spacing w:val="-11"/>
        </w:rPr>
        <w:t> </w:t>
      </w:r>
      <w:r>
        <w:rPr/>
        <w:t>units,</w:t>
      </w:r>
      <w:r>
        <w:rPr>
          <w:spacing w:val="-11"/>
        </w:rPr>
        <w:t> </w:t>
      </w:r>
      <w:r>
        <w:rPr/>
        <w:t>and 13</w:t>
      </w:r>
      <w:r>
        <w:rPr>
          <w:spacing w:val="-11"/>
        </w:rPr>
        <w:t> </w:t>
      </w:r>
      <w:r>
        <w:rPr/>
        <w:t>percent</w:t>
      </w:r>
      <w:r>
        <w:rPr>
          <w:spacing w:val="-11"/>
        </w:rPr>
        <w:t> </w:t>
      </w:r>
      <w:r>
        <w:rPr/>
        <w:t>were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three-bedroom</w:t>
      </w:r>
      <w:r>
        <w:rPr>
          <w:spacing w:val="-10"/>
        </w:rPr>
        <w:t> </w:t>
      </w:r>
      <w:r>
        <w:rPr/>
        <w:t>units.</w:t>
      </w:r>
      <w:r>
        <w:rPr>
          <w:spacing w:val="-10"/>
        </w:rPr>
        <w:t> </w:t>
      </w:r>
      <w:r>
        <w:rPr/>
        <w:t>Studio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one-bedroom</w:t>
      </w:r>
      <w:r>
        <w:rPr>
          <w:spacing w:val="-10"/>
        </w:rPr>
        <w:t> </w:t>
      </w:r>
      <w:r>
        <w:rPr/>
        <w:t>units</w:t>
      </w:r>
      <w:r>
        <w:rPr>
          <w:spacing w:val="-9"/>
        </w:rPr>
        <w:t> </w:t>
      </w:r>
      <w:r>
        <w:rPr/>
        <w:t>that</w:t>
      </w:r>
      <w:r>
        <w:rPr>
          <w:spacing w:val="-11"/>
        </w:rPr>
        <w:t> </w:t>
      </w:r>
      <w:r>
        <w:rPr/>
        <w:t>were</w:t>
      </w:r>
      <w:r>
        <w:rPr>
          <w:spacing w:val="-11"/>
        </w:rPr>
        <w:t> </w:t>
      </w:r>
      <w:r>
        <w:rPr/>
        <w:t>reported</w:t>
      </w:r>
      <w:r>
        <w:rPr>
          <w:spacing w:val="-10"/>
        </w:rPr>
        <w:t> </w:t>
      </w:r>
      <w:r>
        <w:rPr/>
        <w:t>as rented under bed lease agreements accounted for 11 percent of the total.</w:t>
      </w:r>
    </w:p>
    <w:p>
      <w:pPr>
        <w:pStyle w:val="BodyText"/>
        <w:spacing w:before="55"/>
      </w:pPr>
    </w:p>
    <w:p>
      <w:pPr>
        <w:spacing w:before="0"/>
        <w:ind w:left="287" w:right="0" w:firstLine="0"/>
        <w:jc w:val="left"/>
        <w:rPr>
          <w:i/>
          <w:sz w:val="22"/>
        </w:rPr>
      </w:pPr>
      <w:bookmarkStart w:name="Figure 3:  Distribution of Leasable Beds" w:id="9"/>
      <w:bookmarkEnd w:id="9"/>
      <w:r>
        <w:rPr/>
      </w:r>
      <w:r>
        <w:rPr>
          <w:i/>
          <w:sz w:val="22"/>
        </w:rPr>
        <w:t>Figure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3:</w:t>
      </w:r>
      <w:r>
        <w:rPr>
          <w:i/>
          <w:spacing w:val="39"/>
          <w:sz w:val="22"/>
        </w:rPr>
        <w:t> </w:t>
      </w:r>
      <w:r>
        <w:rPr>
          <w:i/>
          <w:sz w:val="22"/>
        </w:rPr>
        <w:t>Distribution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Leasable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Beds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Associated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Units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9"/>
          <w:sz w:val="22"/>
        </w:rPr>
        <w:t> </w:t>
      </w:r>
      <w:r>
        <w:rPr>
          <w:i/>
          <w:spacing w:val="-4"/>
          <w:sz w:val="22"/>
        </w:rPr>
        <w:t>Size</w:t>
      </w:r>
    </w:p>
    <w:p>
      <w:pPr>
        <w:tabs>
          <w:tab w:pos="7020" w:val="left" w:leader="none"/>
        </w:tabs>
        <w:spacing w:before="183"/>
        <w:ind w:left="3219" w:right="0" w:firstLine="0"/>
        <w:jc w:val="left"/>
        <w:rPr>
          <w:rFonts w:ascii="Calibri"/>
          <w:position w:val="1"/>
          <w:sz w:val="32"/>
        </w:rPr>
      </w:pPr>
      <w:r>
        <w:rPr>
          <w:rFonts w:ascii="Calibri"/>
          <w:position w:val="1"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6214656">
                <wp:simplePos x="0" y="0"/>
                <wp:positionH relativeFrom="page">
                  <wp:posOffset>4646676</wp:posOffset>
                </wp:positionH>
                <wp:positionV relativeFrom="paragraph">
                  <wp:posOffset>323417</wp:posOffset>
                </wp:positionV>
                <wp:extent cx="2230755" cy="233362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2230755" cy="2333625"/>
                          <a:chExt cx="2230755" cy="2333625"/>
                        </a:xfrm>
                      </wpg:grpSpPr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6894" y="69578"/>
                            <a:ext cx="787145" cy="11727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6894" y="327134"/>
                            <a:ext cx="1173480" cy="16695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3366" y="1160000"/>
                            <a:ext cx="904493" cy="11734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9578"/>
                            <a:ext cx="1139189" cy="22631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6518" y="85580"/>
                            <a:ext cx="707897" cy="109499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6518" y="343898"/>
                            <a:ext cx="1094231" cy="159029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2990" y="1176764"/>
                            <a:ext cx="825245" cy="10942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3" y="85580"/>
                            <a:ext cx="1094993" cy="21846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Textbox 34"/>
                        <wps:cNvSpPr txBox="1"/>
                        <wps:spPr>
                          <a:xfrm>
                            <a:off x="1386166" y="0"/>
                            <a:ext cx="53086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z w:val="18"/>
                                </w:rPr>
                                <w:t>1,154;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5"/>
                                  <w:sz w:val="18"/>
                                </w:rPr>
                                <w:t>11%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299859" y="1036815"/>
                            <a:ext cx="53086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z w:val="18"/>
                                </w:rPr>
                                <w:t>5,114;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5"/>
                                  <w:sz w:val="18"/>
                                </w:rPr>
                                <w:t>50%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525841" y="1152601"/>
                            <a:ext cx="53086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z w:val="18"/>
                                </w:rPr>
                                <w:t>2,683;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5"/>
                                  <w:sz w:val="18"/>
                                </w:rPr>
                                <w:t>26%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187627" y="1882863"/>
                            <a:ext cx="53086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z w:val="18"/>
                                </w:rPr>
                                <w:t>1,378;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5"/>
                                  <w:sz w:val="18"/>
                                </w:rPr>
                                <w:t>13%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5.880005pt;margin-top:25.465931pt;width:175.65pt;height:183.75pt;mso-position-horizontal-relative:page;mso-position-vertical-relative:paragraph;z-index:-17101824" id="docshapegroup19" coordorigin="7318,509" coordsize="3513,3675">
                <v:shape style="position:absolute;left:8982;top:618;width:1240;height:1847" type="#_x0000_t75" id="docshape20" stroked="false">
                  <v:imagedata r:id="rId24" o:title=""/>
                </v:shape>
                <v:shape style="position:absolute;left:8982;top:1024;width:1848;height:2630" type="#_x0000_t75" id="docshape21" stroked="false">
                  <v:imagedata r:id="rId25" o:title=""/>
                </v:shape>
                <v:shape style="position:absolute;left:8929;top:2336;width:1425;height:1848" type="#_x0000_t75" id="docshape22" stroked="false">
                  <v:imagedata r:id="rId26" o:title=""/>
                </v:shape>
                <v:shape style="position:absolute;left:7317;top:618;width:1794;height:3564" type="#_x0000_t75" id="docshape23" stroked="false">
                  <v:imagedata r:id="rId27" o:title=""/>
                </v:shape>
                <v:shape style="position:absolute;left:9044;top:644;width:1115;height:1725" type="#_x0000_t75" id="docshape24" stroked="false">
                  <v:imagedata r:id="rId28" o:title=""/>
                </v:shape>
                <v:shape style="position:absolute;left:9044;top:1050;width:1724;height:2505" type="#_x0000_t75" id="docshape25" stroked="false">
                  <v:imagedata r:id="rId29" o:title=""/>
                </v:shape>
                <v:shape style="position:absolute;left:8991;top:2362;width:1300;height:1724" type="#_x0000_t75" id="docshape26" stroked="false">
                  <v:imagedata r:id="rId30" o:title=""/>
                </v:shape>
                <v:shape style="position:absolute;left:7326;top:644;width:1725;height:3441" type="#_x0000_t75" id="docshape27" stroked="false">
                  <v:imagedata r:id="rId31" o:title=""/>
                </v:shape>
                <v:shape style="position:absolute;left:9500;top:509;width:836;height:180" type="#_x0000_t202" id="docshape2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404040"/>
                            <w:sz w:val="18"/>
                          </w:rPr>
                          <w:t>1,154;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pacing w:val="-5"/>
                            <w:sz w:val="18"/>
                          </w:rPr>
                          <w:t>11%</w:t>
                        </w:r>
                      </w:p>
                    </w:txbxContent>
                  </v:textbox>
                  <w10:wrap type="none"/>
                </v:shape>
                <v:shape style="position:absolute;left:7789;top:2142;width:836;height:180" type="#_x0000_t202" id="docshape2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404040"/>
                            <w:sz w:val="18"/>
                          </w:rPr>
                          <w:t>5,114;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pacing w:val="-5"/>
                            <w:sz w:val="18"/>
                          </w:rPr>
                          <w:t>50%</w:t>
                        </w:r>
                      </w:p>
                    </w:txbxContent>
                  </v:textbox>
                  <w10:wrap type="none"/>
                </v:shape>
                <v:shape style="position:absolute;left:9720;top:2324;width:836;height:180" type="#_x0000_t202" id="docshape30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404040"/>
                            <w:sz w:val="18"/>
                          </w:rPr>
                          <w:t>2,683;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pacing w:val="-5"/>
                            <w:sz w:val="18"/>
                          </w:rPr>
                          <w:t>26%</w:t>
                        </w:r>
                      </w:p>
                    </w:txbxContent>
                  </v:textbox>
                  <w10:wrap type="none"/>
                </v:shape>
                <v:shape style="position:absolute;left:9187;top:3474;width:836;height:180" type="#_x0000_t202" id="docshape3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404040"/>
                            <w:sz w:val="18"/>
                          </w:rPr>
                          <w:t>1,378;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pacing w:val="-5"/>
                            <w:sz w:val="18"/>
                          </w:rPr>
                          <w:t>13%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585858"/>
          <w:spacing w:val="-2"/>
          <w:sz w:val="32"/>
          <w:u w:val="single" w:color="585858"/>
        </w:rPr>
        <w:t>Units</w:t>
      </w:r>
      <w:r>
        <w:rPr>
          <w:rFonts w:ascii="Calibri"/>
          <w:color w:val="585858"/>
          <w:sz w:val="32"/>
        </w:rPr>
        <w:tab/>
      </w:r>
      <w:r>
        <w:rPr>
          <w:rFonts w:ascii="Calibri"/>
          <w:color w:val="585858"/>
          <w:spacing w:val="-4"/>
          <w:position w:val="1"/>
          <w:sz w:val="32"/>
          <w:u w:val="single" w:color="585858"/>
        </w:rPr>
        <w:t>Beds</w:t>
      </w:r>
    </w:p>
    <w:p>
      <w:pPr>
        <w:pStyle w:val="BodyText"/>
        <w:rPr>
          <w:rFonts w:ascii="Calibri"/>
          <w:sz w:val="21"/>
        </w:rPr>
      </w:pPr>
    </w:p>
    <w:p>
      <w:pPr>
        <w:pStyle w:val="BodyText"/>
        <w:rPr>
          <w:rFonts w:ascii="Calibri"/>
          <w:sz w:val="21"/>
        </w:rPr>
      </w:pPr>
    </w:p>
    <w:p>
      <w:pPr>
        <w:pStyle w:val="BodyText"/>
        <w:rPr>
          <w:rFonts w:ascii="Calibri"/>
          <w:sz w:val="21"/>
        </w:rPr>
      </w:pPr>
    </w:p>
    <w:p>
      <w:pPr>
        <w:pStyle w:val="BodyText"/>
        <w:spacing w:before="140"/>
        <w:rPr>
          <w:rFonts w:ascii="Calibri"/>
          <w:sz w:val="21"/>
        </w:rPr>
      </w:pPr>
    </w:p>
    <w:p>
      <w:pPr>
        <w:spacing w:before="0"/>
        <w:ind w:left="121" w:right="0" w:firstLine="0"/>
        <w:jc w:val="left"/>
        <w:rPr>
          <w:rFonts w:ascii="Calibri"/>
          <w:sz w:val="21"/>
        </w:rPr>
      </w:pPr>
      <w:r>
        <w:rPr>
          <w:rFonts w:ascii="Calibri"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2241042</wp:posOffset>
                </wp:positionH>
                <wp:positionV relativeFrom="paragraph">
                  <wp:posOffset>-720677</wp:posOffset>
                </wp:positionV>
                <wp:extent cx="2317750" cy="2317750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2317750" cy="2317750"/>
                          <a:chExt cx="2317750" cy="2317750"/>
                        </a:xfrm>
                      </wpg:grpSpPr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7853" y="0"/>
                            <a:ext cx="1197101" cy="11993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213" y="1044702"/>
                            <a:ext cx="1748027" cy="12725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248" y="1117091"/>
                            <a:ext cx="1120901" cy="10561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9" cy="16131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6716" y="16002"/>
                            <a:ext cx="1119377" cy="11216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8837" y="1060703"/>
                            <a:ext cx="1669541" cy="11940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1133855"/>
                            <a:ext cx="1041653" cy="97764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861" y="16002"/>
                            <a:ext cx="1121663" cy="15346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Textbox 47"/>
                        <wps:cNvSpPr txBox="1"/>
                        <wps:spPr>
                          <a:xfrm>
                            <a:off x="1404663" y="539029"/>
                            <a:ext cx="44323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z w:val="18"/>
                                </w:rPr>
                                <w:t>878;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5"/>
                                  <w:sz w:val="18"/>
                                </w:rPr>
                                <w:t>24%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375734" y="736311"/>
                            <a:ext cx="53086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z w:val="18"/>
                                </w:rPr>
                                <w:t>1,137;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5"/>
                                  <w:sz w:val="18"/>
                                </w:rPr>
                                <w:t>31%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223143" y="1610478"/>
                            <a:ext cx="44323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z w:val="18"/>
                                </w:rPr>
                                <w:t>396;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5"/>
                                  <w:sz w:val="18"/>
                                </w:rPr>
                                <w:t>11%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437810" y="1788443"/>
                            <a:ext cx="53086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z w:val="18"/>
                                </w:rPr>
                                <w:t>1,253;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5"/>
                                  <w:sz w:val="18"/>
                                </w:rPr>
                                <w:t>34%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6.460007pt;margin-top:-56.74625pt;width:182.5pt;height:182.5pt;mso-position-horizontal-relative:page;mso-position-vertical-relative:paragraph;z-index:15731200" id="docshapegroup32" coordorigin="3529,-1135" coordsize="3650,3650">
                <v:shape style="position:absolute;left:5289;top:-1135;width:1886;height:1889" type="#_x0000_t75" id="docshape33" stroked="false">
                  <v:imagedata r:id="rId32" o:title=""/>
                </v:shape>
                <v:shape style="position:absolute;left:4425;top:510;width:2753;height:2004" type="#_x0000_t75" id="docshape34" stroked="false">
                  <v:imagedata r:id="rId33" o:title=""/>
                </v:shape>
                <v:shape style="position:absolute;left:3654;top:624;width:1766;height:1664" type="#_x0000_t75" id="docshape35" stroked="false">
                  <v:imagedata r:id="rId34" o:title=""/>
                </v:shape>
                <v:shape style="position:absolute;left:3529;top:-1135;width:1890;height:2541" type="#_x0000_t75" id="docshape36" stroked="false">
                  <v:imagedata r:id="rId35" o:title=""/>
                </v:shape>
                <v:shape style="position:absolute;left:5350;top:-1110;width:1763;height:1767" type="#_x0000_t75" id="docshape37" stroked="false">
                  <v:imagedata r:id="rId36" o:title=""/>
                </v:shape>
                <v:shape style="position:absolute;left:4488;top:535;width:2630;height:1881" type="#_x0000_t75" id="docshape38" stroked="false">
                  <v:imagedata r:id="rId37" o:title=""/>
                </v:shape>
                <v:shape style="position:absolute;left:3716;top:650;width:1641;height:1540" type="#_x0000_t75" id="docshape39" stroked="false">
                  <v:imagedata r:id="rId38" o:title=""/>
                </v:shape>
                <v:shape style="position:absolute;left:3590;top:-1110;width:1767;height:2417" type="#_x0000_t75" id="docshape40" stroked="false">
                  <v:imagedata r:id="rId39" o:title=""/>
                </v:shape>
                <v:shape style="position:absolute;left:5741;top:-287;width:698;height:180" type="#_x0000_t202" id="docshape4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404040"/>
                            <w:sz w:val="18"/>
                          </w:rPr>
                          <w:t>878;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pacing w:val="-5"/>
                            <w:sz w:val="18"/>
                          </w:rPr>
                          <w:t>24%</w:t>
                        </w:r>
                      </w:p>
                    </w:txbxContent>
                  </v:textbox>
                  <w10:wrap type="none"/>
                </v:shape>
                <v:shape style="position:absolute;left:4120;top:24;width:836;height:180" type="#_x0000_t202" id="docshape4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404040"/>
                            <w:sz w:val="18"/>
                          </w:rPr>
                          <w:t>1,137;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pacing w:val="-5"/>
                            <w:sz w:val="18"/>
                          </w:rPr>
                          <w:t>31%</w:t>
                        </w:r>
                      </w:p>
                    </w:txbxContent>
                  </v:textbox>
                  <w10:wrap type="none"/>
                </v:shape>
                <v:shape style="position:absolute;left:3880;top:1401;width:698;height:180" type="#_x0000_t202" id="docshape4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404040"/>
                            <w:sz w:val="18"/>
                          </w:rPr>
                          <w:t>396;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pacing w:val="-5"/>
                            <w:sz w:val="18"/>
                          </w:rPr>
                          <w:t>11%</w:t>
                        </w:r>
                      </w:p>
                    </w:txbxContent>
                  </v:textbox>
                  <w10:wrap type="none"/>
                </v:shape>
                <v:shape style="position:absolute;left:5793;top:1681;width:836;height:180" type="#_x0000_t202" id="docshape4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404040"/>
                            <w:sz w:val="18"/>
                          </w:rPr>
                          <w:t>1,253;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404040"/>
                            <w:spacing w:val="-5"/>
                            <w:sz w:val="18"/>
                          </w:rPr>
                          <w:t>34%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inline distT="0" distB="0" distL="0" distR="0">
            <wp:extent cx="76961" cy="76961"/>
            <wp:effectExtent l="0" t="0" r="0" b="0"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61" cy="76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4"/>
          <w:sz w:val="20"/>
        </w:rPr>
        <w:t> </w:t>
      </w:r>
      <w:r>
        <w:rPr>
          <w:rFonts w:ascii="Calibri"/>
          <w:color w:val="585858"/>
          <w:sz w:val="21"/>
        </w:rPr>
        <w:t>Studio &amp; 1</w:t>
      </w:r>
      <w:r>
        <w:rPr>
          <w:rFonts w:ascii="Calibri"/>
          <w:color w:val="585858"/>
          <w:spacing w:val="-1"/>
          <w:sz w:val="21"/>
        </w:rPr>
        <w:t> </w:t>
      </w:r>
      <w:r>
        <w:rPr>
          <w:rFonts w:ascii="Calibri"/>
          <w:color w:val="585858"/>
          <w:sz w:val="21"/>
        </w:rPr>
        <w:t>Bedroom</w:t>
      </w:r>
    </w:p>
    <w:p>
      <w:pPr>
        <w:spacing w:before="118"/>
        <w:ind w:left="121" w:right="0" w:firstLine="0"/>
        <w:jc w:val="left"/>
        <w:rPr>
          <w:rFonts w:ascii="Calibri"/>
          <w:sz w:val="21"/>
        </w:rPr>
      </w:pPr>
      <w:r>
        <w:rPr/>
        <w:drawing>
          <wp:inline distT="0" distB="0" distL="0" distR="0">
            <wp:extent cx="76961" cy="76961"/>
            <wp:effectExtent l="0" t="0" r="0" b="0"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61" cy="76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2"/>
          <w:sz w:val="20"/>
        </w:rPr>
        <w:t> </w:t>
      </w:r>
      <w:r>
        <w:rPr>
          <w:rFonts w:ascii="Calibri"/>
          <w:color w:val="585858"/>
          <w:sz w:val="21"/>
        </w:rPr>
        <w:t>2 Bedroom</w:t>
      </w:r>
    </w:p>
    <w:p>
      <w:pPr>
        <w:spacing w:before="117"/>
        <w:ind w:left="121" w:right="0" w:firstLine="0"/>
        <w:jc w:val="left"/>
        <w:rPr>
          <w:rFonts w:ascii="Calibri"/>
          <w:sz w:val="21"/>
        </w:rPr>
      </w:pPr>
      <w:r>
        <w:rPr/>
        <w:drawing>
          <wp:inline distT="0" distB="0" distL="0" distR="0">
            <wp:extent cx="76961" cy="76961"/>
            <wp:effectExtent l="0" t="0" r="0" b="0"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61" cy="76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2"/>
          <w:sz w:val="20"/>
        </w:rPr>
        <w:t> </w:t>
      </w:r>
      <w:r>
        <w:rPr>
          <w:rFonts w:ascii="Calibri"/>
          <w:color w:val="585858"/>
          <w:sz w:val="21"/>
        </w:rPr>
        <w:t>3 Bedroom</w:t>
      </w:r>
    </w:p>
    <w:p>
      <w:pPr>
        <w:spacing w:before="118"/>
        <w:ind w:left="121" w:right="0" w:firstLine="0"/>
        <w:jc w:val="left"/>
        <w:rPr>
          <w:rFonts w:ascii="Calibri"/>
          <w:sz w:val="21"/>
        </w:rPr>
      </w:pPr>
      <w:r>
        <w:rPr/>
        <w:drawing>
          <wp:inline distT="0" distB="0" distL="0" distR="0">
            <wp:extent cx="76961" cy="77723"/>
            <wp:effectExtent l="0" t="0" r="0" b="0"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61" cy="77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2"/>
          <w:sz w:val="20"/>
        </w:rPr>
        <w:t> </w:t>
      </w:r>
      <w:r>
        <w:rPr>
          <w:rFonts w:ascii="Calibri"/>
          <w:color w:val="585858"/>
          <w:sz w:val="21"/>
        </w:rPr>
        <w:t>4+ Bedroom</w:t>
      </w:r>
    </w:p>
    <w:p>
      <w:pPr>
        <w:pStyle w:val="BodyText"/>
        <w:rPr>
          <w:rFonts w:ascii="Calibri"/>
          <w:sz w:val="16"/>
        </w:rPr>
      </w:pPr>
    </w:p>
    <w:p>
      <w:pPr>
        <w:pStyle w:val="BodyText"/>
        <w:rPr>
          <w:rFonts w:ascii="Calibri"/>
          <w:sz w:val="16"/>
        </w:rPr>
      </w:pPr>
    </w:p>
    <w:p>
      <w:pPr>
        <w:pStyle w:val="BodyText"/>
        <w:rPr>
          <w:rFonts w:ascii="Calibri"/>
          <w:sz w:val="16"/>
        </w:rPr>
      </w:pPr>
    </w:p>
    <w:p>
      <w:pPr>
        <w:pStyle w:val="BodyText"/>
        <w:rPr>
          <w:rFonts w:ascii="Calibri"/>
          <w:sz w:val="16"/>
        </w:rPr>
      </w:pPr>
    </w:p>
    <w:p>
      <w:pPr>
        <w:pStyle w:val="BodyText"/>
        <w:rPr>
          <w:rFonts w:ascii="Calibri"/>
          <w:sz w:val="16"/>
        </w:rPr>
      </w:pPr>
    </w:p>
    <w:p>
      <w:pPr>
        <w:pStyle w:val="BodyText"/>
        <w:spacing w:before="26"/>
        <w:rPr>
          <w:rFonts w:ascii="Calibri"/>
          <w:sz w:val="16"/>
        </w:rPr>
      </w:pPr>
    </w:p>
    <w:p>
      <w:pPr>
        <w:spacing w:before="0"/>
        <w:ind w:left="288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Source:</w:t>
      </w:r>
      <w:r>
        <w:rPr>
          <w:rFonts w:ascii="Arial MT"/>
          <w:spacing w:val="36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5"/>
          <w:sz w:val="16"/>
        </w:rPr>
        <w:t> </w:t>
      </w:r>
      <w:r>
        <w:rPr>
          <w:rFonts w:ascii="Arial MT"/>
          <w:spacing w:val="-4"/>
          <w:sz w:val="16"/>
        </w:rPr>
        <w:t>2025.</w:t>
      </w:r>
    </w:p>
    <w:p>
      <w:pPr>
        <w:pStyle w:val="BodyText"/>
        <w:spacing w:before="166"/>
        <w:rPr>
          <w:rFonts w:ascii="Arial MT"/>
          <w:sz w:val="16"/>
        </w:rPr>
      </w:pPr>
    </w:p>
    <w:p>
      <w:pPr>
        <w:pStyle w:val="BodyText"/>
        <w:spacing w:line="288" w:lineRule="auto"/>
        <w:ind w:left="287" w:right="250"/>
      </w:pPr>
      <w:r>
        <w:rPr/>
        <w:t>Figure</w:t>
      </w:r>
      <w:r>
        <w:rPr>
          <w:spacing w:val="-8"/>
        </w:rPr>
        <w:t> </w:t>
      </w:r>
      <w:r>
        <w:rPr/>
        <w:t>4</w:t>
      </w:r>
      <w:r>
        <w:rPr>
          <w:spacing w:val="-10"/>
        </w:rPr>
        <w:t> </w:t>
      </w:r>
      <w:r>
        <w:rPr/>
        <w:t>reports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average</w:t>
      </w:r>
      <w:r>
        <w:rPr>
          <w:spacing w:val="-10"/>
        </w:rPr>
        <w:t> </w:t>
      </w:r>
      <w:r>
        <w:rPr/>
        <w:t>number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beds</w:t>
      </w:r>
      <w:r>
        <w:rPr>
          <w:spacing w:val="-9"/>
        </w:rPr>
        <w:t> </w:t>
      </w:r>
      <w:r>
        <w:rPr/>
        <w:t>per</w:t>
      </w:r>
      <w:r>
        <w:rPr>
          <w:spacing w:val="-10"/>
        </w:rPr>
        <w:t> </w:t>
      </w:r>
      <w:r>
        <w:rPr/>
        <w:t>unit,</w:t>
      </w:r>
      <w:r>
        <w:rPr>
          <w:spacing w:val="-9"/>
        </w:rPr>
        <w:t> </w:t>
      </w:r>
      <w:r>
        <w:rPr/>
        <w:t>by</w:t>
      </w:r>
      <w:r>
        <w:rPr>
          <w:spacing w:val="-9"/>
        </w:rPr>
        <w:t> </w:t>
      </w:r>
      <w:r>
        <w:rPr/>
        <w:t>unit</w:t>
      </w:r>
      <w:r>
        <w:rPr>
          <w:spacing w:val="-10"/>
        </w:rPr>
        <w:t> </w:t>
      </w:r>
      <w:r>
        <w:rPr/>
        <w:t>size.</w:t>
      </w:r>
      <w:r>
        <w:rPr>
          <w:spacing w:val="-9"/>
        </w:rPr>
        <w:t> </w:t>
      </w:r>
      <w:r>
        <w:rPr/>
        <w:t>This</w:t>
      </w:r>
      <w:r>
        <w:rPr>
          <w:spacing w:val="-9"/>
        </w:rPr>
        <w:t> </w:t>
      </w:r>
      <w:r>
        <w:rPr/>
        <w:t>illustrates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relatively low occurrence of double-occupancy bedrooms. The number of double-occupancy bedrooms was</w:t>
      </w:r>
      <w:r>
        <w:rPr>
          <w:spacing w:val="-2"/>
        </w:rPr>
        <w:t> </w:t>
      </w:r>
      <w:r>
        <w:rPr/>
        <w:t>similar</w:t>
      </w:r>
      <w:r>
        <w:rPr>
          <w:spacing w:val="-3"/>
        </w:rPr>
        <w:t> </w:t>
      </w:r>
      <w:r>
        <w:rPr/>
        <w:t>among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various</w:t>
      </w:r>
      <w:r>
        <w:rPr>
          <w:spacing w:val="-2"/>
        </w:rPr>
        <w:t> </w:t>
      </w:r>
      <w:r>
        <w:rPr/>
        <w:t>unit</w:t>
      </w:r>
      <w:r>
        <w:rPr>
          <w:spacing w:val="-3"/>
        </w:rPr>
        <w:t> </w:t>
      </w:r>
      <w:r>
        <w:rPr/>
        <w:t>types,</w:t>
      </w:r>
      <w:r>
        <w:rPr>
          <w:spacing w:val="-2"/>
        </w:rPr>
        <w:t> </w:t>
      </w:r>
      <w:r>
        <w:rPr/>
        <w:t>though</w:t>
      </w:r>
      <w:r>
        <w:rPr>
          <w:spacing w:val="-2"/>
        </w:rPr>
        <w:t> </w:t>
      </w:r>
      <w:r>
        <w:rPr/>
        <w:t>four-bedroom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three-bedroom</w:t>
      </w:r>
      <w:r>
        <w:rPr>
          <w:spacing w:val="-2"/>
        </w:rPr>
        <w:t> </w:t>
      </w:r>
      <w:r>
        <w:rPr/>
        <w:t>units reported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slightly</w:t>
      </w:r>
      <w:r>
        <w:rPr>
          <w:spacing w:val="-1"/>
        </w:rPr>
        <w:t> </w:t>
      </w:r>
      <w:r>
        <w:rPr/>
        <w:t>higher</w:t>
      </w:r>
      <w:r>
        <w:rPr>
          <w:spacing w:val="-2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double-occupancy</w:t>
      </w:r>
      <w:r>
        <w:rPr>
          <w:spacing w:val="-1"/>
        </w:rPr>
        <w:t> </w:t>
      </w:r>
      <w:r>
        <w:rPr/>
        <w:t>rooms.</w:t>
      </w:r>
      <w:r>
        <w:rPr>
          <w:spacing w:val="-1"/>
        </w:rPr>
        <w:t> </w:t>
      </w:r>
      <w:r>
        <w:rPr/>
        <w:t>Compared</w:t>
      </w:r>
      <w:r>
        <w:rPr>
          <w:spacing w:val="-1"/>
        </w:rPr>
        <w:t> </w:t>
      </w:r>
      <w:r>
        <w:rPr/>
        <w:t>to 2024,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data reflect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minor</w:t>
      </w:r>
      <w:r>
        <w:rPr>
          <w:spacing w:val="-12"/>
        </w:rPr>
        <w:t> </w:t>
      </w:r>
      <w:r>
        <w:rPr/>
        <w:t>increase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prevalence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double-ups</w:t>
      </w:r>
      <w:r>
        <w:rPr>
          <w:spacing w:val="-11"/>
        </w:rPr>
        <w:t> </w:t>
      </w:r>
      <w:r>
        <w:rPr/>
        <w:t>within</w:t>
      </w:r>
      <w:r>
        <w:rPr>
          <w:spacing w:val="-10"/>
        </w:rPr>
        <w:t> </w:t>
      </w:r>
      <w:r>
        <w:rPr/>
        <w:t>units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four</w:t>
      </w:r>
      <w:r>
        <w:rPr>
          <w:spacing w:val="-10"/>
        </w:rPr>
        <w:t> </w:t>
      </w:r>
      <w:r>
        <w:rPr/>
        <w:t>or</w:t>
      </w:r>
      <w:r>
        <w:rPr>
          <w:spacing w:val="-12"/>
        </w:rPr>
        <w:t> </w:t>
      </w:r>
      <w:r>
        <w:rPr/>
        <w:t>more</w:t>
      </w:r>
      <w:r>
        <w:rPr>
          <w:spacing w:val="-12"/>
        </w:rPr>
        <w:t> </w:t>
      </w:r>
      <w:r>
        <w:rPr/>
        <w:t>bedrooms, with consistent results in all other unit types.</w:t>
      </w:r>
    </w:p>
    <w:p>
      <w:pPr>
        <w:spacing w:before="189"/>
        <w:ind w:left="288" w:right="0" w:firstLine="0"/>
        <w:jc w:val="left"/>
        <w:rPr>
          <w:i/>
          <w:sz w:val="22"/>
        </w:rPr>
      </w:pPr>
      <w:bookmarkStart w:name="Figure 4:  Average Number of Beds Per Be" w:id="10"/>
      <w:bookmarkEnd w:id="10"/>
      <w:r>
        <w:rPr/>
      </w:r>
      <w:r>
        <w:rPr>
          <w:i/>
          <w:sz w:val="22"/>
        </w:rPr>
        <w:t>Figure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4: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Average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Number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Beds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Per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Bed-Leased</w:t>
      </w:r>
      <w:r>
        <w:rPr>
          <w:i/>
          <w:spacing w:val="-8"/>
          <w:sz w:val="22"/>
        </w:rPr>
        <w:t> </w:t>
      </w:r>
      <w:r>
        <w:rPr>
          <w:i/>
          <w:spacing w:val="-4"/>
          <w:sz w:val="22"/>
        </w:rPr>
        <w:t>Unit</w:t>
      </w:r>
    </w:p>
    <w:p>
      <w:pPr>
        <w:pStyle w:val="BodyText"/>
        <w:spacing w:before="153"/>
        <w:rPr>
          <w:i/>
          <w:sz w:val="18"/>
        </w:rPr>
      </w:pPr>
    </w:p>
    <w:p>
      <w:pPr>
        <w:spacing w:before="0"/>
        <w:ind w:left="652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2353818</wp:posOffset>
                </wp:positionH>
                <wp:positionV relativeFrom="paragraph">
                  <wp:posOffset>-208151</wp:posOffset>
                </wp:positionV>
                <wp:extent cx="3977640" cy="1413510"/>
                <wp:effectExtent l="0" t="0" r="0" b="0"/>
                <wp:wrapNone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3977640" cy="1413510"/>
                          <a:chExt cx="3977640" cy="1413510"/>
                        </a:xfrm>
                      </wpg:grpSpPr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7639" cy="14135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Textbox 57"/>
                        <wps:cNvSpPr txBox="1"/>
                        <wps:spPr>
                          <a:xfrm>
                            <a:off x="1242909" y="206818"/>
                            <a:ext cx="1593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5"/>
                                  <w:sz w:val="18"/>
                                </w:rPr>
                                <w:t>1.3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1941853" y="524343"/>
                            <a:ext cx="1593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5"/>
                                  <w:sz w:val="18"/>
                                </w:rPr>
                                <w:t>2.1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3098684" y="841869"/>
                            <a:ext cx="1593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5"/>
                                  <w:sz w:val="18"/>
                                </w:rPr>
                                <w:t>3.5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5.340012pt;margin-top:-16.389843pt;width:313.2pt;height:111.3pt;mso-position-horizontal-relative:page;mso-position-vertical-relative:paragraph;z-index:15730688" id="docshapegroup45" coordorigin="3707,-328" coordsize="6264,2226">
                <v:shape style="position:absolute;left:3706;top:-328;width:6264;height:2226" type="#_x0000_t75" id="docshape46" stroked="false">
                  <v:imagedata r:id="rId44" o:title=""/>
                </v:shape>
                <v:shape style="position:absolute;left:5664;top:-3;width:251;height:180" type="#_x0000_t202" id="docshape4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404040"/>
                            <w:spacing w:val="-5"/>
                            <w:sz w:val="18"/>
                          </w:rPr>
                          <w:t>1.3</w:t>
                        </w:r>
                      </w:p>
                    </w:txbxContent>
                  </v:textbox>
                  <w10:wrap type="none"/>
                </v:shape>
                <v:shape style="position:absolute;left:6764;top:497;width:251;height:180" type="#_x0000_t202" id="docshape4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404040"/>
                            <w:spacing w:val="-5"/>
                            <w:sz w:val="18"/>
                          </w:rPr>
                          <w:t>2.1</w:t>
                        </w:r>
                      </w:p>
                    </w:txbxContent>
                  </v:textbox>
                  <w10:wrap type="none"/>
                </v:shape>
                <v:shape style="position:absolute;left:8586;top:997;width:251;height:180" type="#_x0000_t202" id="docshape4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404040"/>
                            <w:spacing w:val="-5"/>
                            <w:sz w:val="18"/>
                          </w:rPr>
                          <w:t>3.5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585858"/>
          <w:sz w:val="18"/>
        </w:rPr>
        <w:t>Studio</w:t>
      </w:r>
      <w:r>
        <w:rPr>
          <w:rFonts w:ascii="Calibri"/>
          <w:color w:val="585858"/>
          <w:spacing w:val="-1"/>
          <w:sz w:val="18"/>
        </w:rPr>
        <w:t> </w:t>
      </w:r>
      <w:r>
        <w:rPr>
          <w:rFonts w:ascii="Calibri"/>
          <w:color w:val="585858"/>
          <w:sz w:val="18"/>
        </w:rPr>
        <w:t>&amp;</w:t>
      </w:r>
      <w:r>
        <w:rPr>
          <w:rFonts w:ascii="Calibri"/>
          <w:color w:val="585858"/>
          <w:spacing w:val="-1"/>
          <w:sz w:val="18"/>
        </w:rPr>
        <w:t> </w:t>
      </w:r>
      <w:r>
        <w:rPr>
          <w:rFonts w:ascii="Calibri"/>
          <w:color w:val="585858"/>
          <w:sz w:val="18"/>
        </w:rPr>
        <w:t>1</w:t>
      </w:r>
      <w:r>
        <w:rPr>
          <w:rFonts w:ascii="Calibri"/>
          <w:color w:val="585858"/>
          <w:spacing w:val="-2"/>
          <w:sz w:val="18"/>
        </w:rPr>
        <w:t> Bedroom</w:t>
      </w:r>
    </w:p>
    <w:p>
      <w:pPr>
        <w:pStyle w:val="BodyText"/>
        <w:spacing w:before="61"/>
        <w:rPr>
          <w:rFonts w:ascii="Calibri"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1456" w:val="left" w:leader="none"/>
        </w:tabs>
        <w:spacing w:line="240" w:lineRule="auto" w:before="0" w:after="0"/>
        <w:ind w:left="1456" w:right="0" w:hanging="131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2"/>
          <w:sz w:val="18"/>
        </w:rPr>
        <w:t>Bedroom</w:t>
      </w:r>
    </w:p>
    <w:p>
      <w:pPr>
        <w:pStyle w:val="BodyText"/>
        <w:spacing w:before="60"/>
        <w:rPr>
          <w:rFonts w:ascii="Calibri"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1456" w:val="left" w:leader="none"/>
        </w:tabs>
        <w:spacing w:line="240" w:lineRule="auto" w:before="0" w:after="0"/>
        <w:ind w:left="1456" w:right="0" w:hanging="131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2"/>
          <w:sz w:val="18"/>
        </w:rPr>
        <w:t>Bedroom</w:t>
      </w:r>
    </w:p>
    <w:p>
      <w:pPr>
        <w:pStyle w:val="BodyText"/>
        <w:spacing w:before="7"/>
        <w:rPr>
          <w:rFonts w:ascii="Calibri"/>
          <w:sz w:val="14"/>
        </w:rPr>
      </w:pPr>
    </w:p>
    <w:p>
      <w:pPr>
        <w:pStyle w:val="BodyText"/>
        <w:spacing w:after="0"/>
        <w:rPr>
          <w:rFonts w:ascii="Calibri"/>
          <w:sz w:val="14"/>
        </w:rPr>
        <w:sectPr>
          <w:pgSz w:w="12240" w:h="15840"/>
          <w:pgMar w:header="0" w:footer="794" w:top="1700" w:bottom="980" w:left="1440" w:right="1440"/>
        </w:sectPr>
      </w:pPr>
    </w:p>
    <w:p>
      <w:pPr>
        <w:spacing w:before="103"/>
        <w:ind w:left="1235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z w:val="18"/>
        </w:rPr>
        <w:t>4+</w:t>
      </w:r>
      <w:r>
        <w:rPr>
          <w:rFonts w:ascii="Calibri"/>
          <w:color w:val="585858"/>
          <w:spacing w:val="-1"/>
          <w:sz w:val="18"/>
        </w:rPr>
        <w:t> </w:t>
      </w:r>
      <w:r>
        <w:rPr>
          <w:rFonts w:ascii="Calibri"/>
          <w:color w:val="585858"/>
          <w:spacing w:val="-2"/>
          <w:sz w:val="18"/>
        </w:rPr>
        <w:t>Bedroom</w:t>
      </w:r>
    </w:p>
    <w:p>
      <w:pPr>
        <w:spacing w:before="64"/>
        <w:ind w:left="1235" w:right="0" w:firstLine="0"/>
        <w:jc w:val="left"/>
        <w:rPr>
          <w:rFonts w:ascii="Calibri"/>
          <w:b/>
          <w:sz w:val="18"/>
        </w:rPr>
      </w:pPr>
      <w:r>
        <w:rPr/>
        <w:br w:type="column"/>
      </w:r>
      <w:r>
        <w:rPr>
          <w:rFonts w:ascii="Calibri"/>
          <w:b/>
          <w:color w:val="404040"/>
          <w:spacing w:val="-5"/>
          <w:sz w:val="18"/>
        </w:rPr>
        <w:t>4.5</w:t>
      </w:r>
    </w:p>
    <w:p>
      <w:pPr>
        <w:spacing w:after="0"/>
        <w:jc w:val="left"/>
        <w:rPr>
          <w:rFonts w:ascii="Calibri"/>
          <w:b/>
          <w:sz w:val="18"/>
        </w:rPr>
        <w:sectPr>
          <w:type w:val="continuous"/>
          <w:pgSz w:w="12240" w:h="15840"/>
          <w:pgMar w:header="0" w:footer="794" w:top="360" w:bottom="280" w:left="1440" w:right="1440"/>
          <w:cols w:num="2" w:equalWidth="0">
            <w:col w:w="2176" w:space="5150"/>
            <w:col w:w="2034"/>
          </w:cols>
        </w:sectPr>
      </w:pPr>
    </w:p>
    <w:p>
      <w:pPr>
        <w:tabs>
          <w:tab w:pos="2855" w:val="left" w:leader="none"/>
          <w:tab w:pos="3520" w:val="left" w:leader="none"/>
          <w:tab w:pos="4186" w:val="left" w:leader="none"/>
          <w:tab w:pos="4851" w:val="left" w:leader="none"/>
          <w:tab w:pos="5517" w:val="left" w:leader="none"/>
          <w:tab w:pos="6182" w:val="left" w:leader="none"/>
          <w:tab w:pos="6848" w:val="left" w:leader="none"/>
          <w:tab w:pos="7513" w:val="left" w:leader="none"/>
          <w:tab w:pos="8407" w:val="right" w:leader="none"/>
        </w:tabs>
        <w:spacing w:before="255"/>
        <w:ind w:left="2190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0.0</w:t>
      </w:r>
      <w:r>
        <w:rPr>
          <w:rFonts w:ascii="Calibri"/>
          <w:color w:val="585858"/>
          <w:sz w:val="18"/>
        </w:rPr>
        <w:tab/>
      </w:r>
      <w:r>
        <w:rPr>
          <w:rFonts w:ascii="Calibri"/>
          <w:color w:val="585858"/>
          <w:spacing w:val="-5"/>
          <w:sz w:val="18"/>
        </w:rPr>
        <w:t>0.5</w:t>
      </w:r>
      <w:r>
        <w:rPr>
          <w:rFonts w:ascii="Calibri"/>
          <w:color w:val="585858"/>
          <w:sz w:val="18"/>
        </w:rPr>
        <w:tab/>
      </w:r>
      <w:r>
        <w:rPr>
          <w:rFonts w:ascii="Calibri"/>
          <w:color w:val="585858"/>
          <w:spacing w:val="-5"/>
          <w:sz w:val="18"/>
        </w:rPr>
        <w:t>1.0</w:t>
      </w:r>
      <w:r>
        <w:rPr>
          <w:rFonts w:ascii="Calibri"/>
          <w:color w:val="585858"/>
          <w:sz w:val="18"/>
        </w:rPr>
        <w:tab/>
      </w:r>
      <w:r>
        <w:rPr>
          <w:rFonts w:ascii="Calibri"/>
          <w:color w:val="585858"/>
          <w:spacing w:val="-5"/>
          <w:sz w:val="18"/>
        </w:rPr>
        <w:t>1.5</w:t>
      </w:r>
      <w:r>
        <w:rPr>
          <w:rFonts w:ascii="Calibri"/>
          <w:color w:val="585858"/>
          <w:sz w:val="18"/>
        </w:rPr>
        <w:tab/>
      </w:r>
      <w:r>
        <w:rPr>
          <w:rFonts w:ascii="Calibri"/>
          <w:color w:val="585858"/>
          <w:spacing w:val="-5"/>
          <w:sz w:val="18"/>
        </w:rPr>
        <w:t>2.0</w:t>
      </w:r>
      <w:r>
        <w:rPr>
          <w:rFonts w:ascii="Calibri"/>
          <w:color w:val="585858"/>
          <w:sz w:val="18"/>
        </w:rPr>
        <w:tab/>
      </w:r>
      <w:r>
        <w:rPr>
          <w:rFonts w:ascii="Calibri"/>
          <w:color w:val="585858"/>
          <w:spacing w:val="-5"/>
          <w:sz w:val="18"/>
        </w:rPr>
        <w:t>2.5</w:t>
      </w:r>
      <w:r>
        <w:rPr>
          <w:rFonts w:ascii="Calibri"/>
          <w:color w:val="585858"/>
          <w:sz w:val="18"/>
        </w:rPr>
        <w:tab/>
      </w:r>
      <w:r>
        <w:rPr>
          <w:rFonts w:ascii="Calibri"/>
          <w:color w:val="585858"/>
          <w:spacing w:val="-5"/>
          <w:sz w:val="18"/>
        </w:rPr>
        <w:t>3.0</w:t>
      </w:r>
      <w:r>
        <w:rPr>
          <w:rFonts w:ascii="Calibri"/>
          <w:color w:val="585858"/>
          <w:sz w:val="18"/>
        </w:rPr>
        <w:tab/>
      </w:r>
      <w:r>
        <w:rPr>
          <w:rFonts w:ascii="Calibri"/>
          <w:color w:val="585858"/>
          <w:spacing w:val="-5"/>
          <w:sz w:val="18"/>
        </w:rPr>
        <w:t>3.5</w:t>
      </w:r>
      <w:r>
        <w:rPr>
          <w:rFonts w:ascii="Calibri"/>
          <w:color w:val="585858"/>
          <w:sz w:val="18"/>
        </w:rPr>
        <w:tab/>
      </w:r>
      <w:r>
        <w:rPr>
          <w:rFonts w:ascii="Calibri"/>
          <w:color w:val="585858"/>
          <w:spacing w:val="-5"/>
          <w:sz w:val="18"/>
        </w:rPr>
        <w:t>4.0</w:t>
      </w:r>
      <w:r>
        <w:rPr>
          <w:rFonts w:ascii="Calibri"/>
          <w:color w:val="585858"/>
          <w:sz w:val="18"/>
        </w:rPr>
        <w:tab/>
      </w:r>
      <w:r>
        <w:rPr>
          <w:rFonts w:ascii="Calibri"/>
          <w:color w:val="585858"/>
          <w:spacing w:val="-5"/>
          <w:sz w:val="18"/>
        </w:rPr>
        <w:t>4.5</w:t>
      </w:r>
    </w:p>
    <w:p>
      <w:pPr>
        <w:spacing w:before="65"/>
        <w:ind w:left="288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Source:</w:t>
      </w:r>
      <w:r>
        <w:rPr>
          <w:rFonts w:ascii="Arial MT"/>
          <w:spacing w:val="36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5"/>
          <w:sz w:val="16"/>
        </w:rPr>
        <w:t> </w:t>
      </w:r>
      <w:r>
        <w:rPr>
          <w:rFonts w:ascii="Arial MT"/>
          <w:spacing w:val="-4"/>
          <w:sz w:val="16"/>
        </w:rPr>
        <w:t>2025.</w:t>
      </w:r>
    </w:p>
    <w:p>
      <w:pPr>
        <w:spacing w:after="0"/>
        <w:jc w:val="left"/>
        <w:rPr>
          <w:rFonts w:ascii="Arial MT"/>
          <w:sz w:val="16"/>
        </w:rPr>
        <w:sectPr>
          <w:type w:val="continuous"/>
          <w:pgSz w:w="12240" w:h="15840"/>
          <w:pgMar w:header="0" w:footer="794" w:top="360" w:bottom="280" w:left="1440" w:right="1440"/>
        </w:sectPr>
      </w:pPr>
    </w:p>
    <w:p>
      <w:pPr>
        <w:pStyle w:val="BodyText"/>
        <w:spacing w:line="288" w:lineRule="auto" w:before="78"/>
        <w:ind w:left="288" w:right="250" w:hanging="1"/>
        <w:rPr>
          <w:position w:val="5"/>
          <w:sz w:val="14"/>
        </w:rPr>
      </w:pPr>
      <w:r>
        <w:rPr/>
        <w:t>As</w:t>
      </w:r>
      <w:r>
        <w:rPr>
          <w:spacing w:val="-9"/>
        </w:rPr>
        <w:t> </w:t>
      </w:r>
      <w:r>
        <w:rPr/>
        <w:t>documented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Table</w:t>
      </w:r>
      <w:r>
        <w:rPr>
          <w:spacing w:val="-8"/>
        </w:rPr>
        <w:t> </w:t>
      </w:r>
      <w:r>
        <w:rPr/>
        <w:t>2,</w:t>
      </w:r>
      <w:r>
        <w:rPr>
          <w:spacing w:val="-9"/>
        </w:rPr>
        <w:t> </w:t>
      </w:r>
      <w:r>
        <w:rPr/>
        <w:t>below,</w:t>
      </w:r>
      <w:r>
        <w:rPr>
          <w:spacing w:val="-9"/>
        </w:rPr>
        <w:t> </w:t>
      </w:r>
      <w:r>
        <w:rPr/>
        <w:t>respondents</w:t>
      </w:r>
      <w:r>
        <w:rPr>
          <w:spacing w:val="-9"/>
        </w:rPr>
        <w:t> </w:t>
      </w:r>
      <w:r>
        <w:rPr/>
        <w:t>reported</w:t>
      </w:r>
      <w:r>
        <w:rPr>
          <w:spacing w:val="-7"/>
        </w:rPr>
        <w:t> </w:t>
      </w:r>
      <w:r>
        <w:rPr/>
        <w:t>460</w:t>
      </w:r>
      <w:r>
        <w:rPr>
          <w:spacing w:val="-10"/>
        </w:rPr>
        <w:t> </w:t>
      </w:r>
      <w:r>
        <w:rPr/>
        <w:t>vacant</w:t>
      </w:r>
      <w:r>
        <w:rPr>
          <w:spacing w:val="-10"/>
        </w:rPr>
        <w:t> </w:t>
      </w:r>
      <w:r>
        <w:rPr/>
        <w:t>beds</w:t>
      </w:r>
      <w:r>
        <w:rPr>
          <w:spacing w:val="-9"/>
        </w:rPr>
        <w:t> </w:t>
      </w:r>
      <w:r>
        <w:rPr/>
        <w:t>in</w:t>
      </w:r>
      <w:r>
        <w:rPr>
          <w:spacing w:val="-8"/>
        </w:rPr>
        <w:t> </w:t>
      </w:r>
      <w:r>
        <w:rPr/>
        <w:t>2025.</w:t>
      </w:r>
      <w:r>
        <w:rPr>
          <w:spacing w:val="-9"/>
        </w:rPr>
        <w:t> </w:t>
      </w:r>
      <w:r>
        <w:rPr/>
        <w:t>This</w:t>
      </w:r>
      <w:r>
        <w:rPr>
          <w:spacing w:val="-9"/>
        </w:rPr>
        <w:t> </w:t>
      </w:r>
      <w:r>
        <w:rPr/>
        <w:t>equals a vacancy rate of 4.5 percent. This vacancy rate is slightly above the rate reported in 2024</w:t>
      </w:r>
      <w:r>
        <w:rPr/>
        <w:t> (3.8 percent), but below the 2023 vacancy rate of 5.9 percent. The increase in vacancy rates among</w:t>
      </w:r>
      <w:r>
        <w:rPr>
          <w:spacing w:val="-1"/>
        </w:rPr>
        <w:t> </w:t>
      </w:r>
      <w:r>
        <w:rPr/>
        <w:t>bed-leased</w:t>
      </w:r>
      <w:r>
        <w:rPr>
          <w:spacing w:val="-1"/>
        </w:rPr>
        <w:t> </w:t>
      </w:r>
      <w:r>
        <w:rPr/>
        <w:t>units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associated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addition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new bed-leased</w:t>
      </w:r>
      <w:r>
        <w:rPr>
          <w:spacing w:val="-1"/>
        </w:rPr>
        <w:t> </w:t>
      </w:r>
      <w:r>
        <w:rPr/>
        <w:t>properties</w:t>
      </w:r>
      <w:r>
        <w:rPr>
          <w:spacing w:val="-1"/>
        </w:rPr>
        <w:t> </w:t>
      </w:r>
      <w:r>
        <w:rPr/>
        <w:t>in Davis, as well as slower UC Davis enrollment growth.</w:t>
      </w:r>
      <w:hyperlink w:history="true" w:anchor="_bookmark3">
        <w:r>
          <w:rPr>
            <w:position w:val="5"/>
            <w:sz w:val="14"/>
          </w:rPr>
          <w:t>4</w:t>
        </w:r>
      </w:hyperlink>
    </w:p>
    <w:p>
      <w:pPr>
        <w:pStyle w:val="BodyText"/>
        <w:spacing w:before="54"/>
      </w:pPr>
    </w:p>
    <w:p>
      <w:pPr>
        <w:spacing w:before="0"/>
        <w:ind w:left="287" w:right="0" w:firstLine="0"/>
        <w:jc w:val="left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1078230</wp:posOffset>
                </wp:positionH>
                <wp:positionV relativeFrom="paragraph">
                  <wp:posOffset>170906</wp:posOffset>
                </wp:positionV>
                <wp:extent cx="5616575" cy="635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56165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6575" h="6350">
                              <a:moveTo>
                                <a:pt x="5615952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615952" y="6108"/>
                              </a:lnTo>
                              <a:lnTo>
                                <a:pt x="5615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900002pt;margin-top:13.457242pt;width:442.201pt;height:.481pt;mso-position-horizontal-relative:page;mso-position-vertical-relative:paragraph;z-index:-15725056;mso-wrap-distance-left:0;mso-wrap-distance-right:0" id="docshape50" filled="true" fillcolor="#000000" stroked="false">
                <v:fill type="solid"/>
                <w10:wrap type="topAndBottom"/>
              </v:rect>
            </w:pict>
          </mc:Fallback>
        </mc:AlternateContent>
      </w:r>
      <w:bookmarkStart w:name="Table 2:  Vacancy Rate for Bed Leases by" w:id="11"/>
      <w:bookmarkEnd w:id="11"/>
      <w:r>
        <w:rPr/>
      </w:r>
      <w:r>
        <w:rPr>
          <w:i/>
          <w:sz w:val="22"/>
        </w:rPr>
        <w:t>Table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2:</w:t>
      </w:r>
      <w:r>
        <w:rPr>
          <w:i/>
          <w:spacing w:val="45"/>
          <w:sz w:val="22"/>
        </w:rPr>
        <w:t> </w:t>
      </w:r>
      <w:r>
        <w:rPr>
          <w:i/>
          <w:sz w:val="22"/>
        </w:rPr>
        <w:t>Vacancy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Rate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Bed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Leases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6"/>
          <w:sz w:val="22"/>
        </w:rPr>
        <w:t> </w:t>
      </w:r>
      <w:r>
        <w:rPr>
          <w:i/>
          <w:spacing w:val="-4"/>
          <w:sz w:val="22"/>
        </w:rPr>
        <w:t>Size</w:t>
      </w:r>
    </w:p>
    <w:p>
      <w:pPr>
        <w:spacing w:before="102" w:after="23"/>
        <w:ind w:left="1075" w:right="1190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pacing w:val="-2"/>
          <w:w w:val="105"/>
          <w:sz w:val="14"/>
        </w:rPr>
        <w:t>2025</w:t>
      </w:r>
      <w:r>
        <w:rPr>
          <w:rFonts w:ascii="Arial"/>
          <w:b/>
          <w:spacing w:val="3"/>
          <w:w w:val="105"/>
          <w:sz w:val="14"/>
        </w:rPr>
        <w:t> </w:t>
      </w:r>
      <w:r>
        <w:rPr>
          <w:rFonts w:ascii="Arial"/>
          <w:b/>
          <w:spacing w:val="-2"/>
          <w:w w:val="105"/>
          <w:sz w:val="14"/>
        </w:rPr>
        <w:t>Survey</w:t>
      </w:r>
      <w:r>
        <w:rPr>
          <w:rFonts w:ascii="Arial"/>
          <w:b/>
          <w:spacing w:val="-4"/>
          <w:w w:val="105"/>
          <w:sz w:val="14"/>
        </w:rPr>
        <w:t> </w:t>
      </w:r>
      <w:r>
        <w:rPr>
          <w:rFonts w:ascii="Arial"/>
          <w:b/>
          <w:spacing w:val="-2"/>
          <w:w w:val="105"/>
          <w:sz w:val="14"/>
        </w:rPr>
        <w:t>Results</w:t>
      </w:r>
    </w:p>
    <w:tbl>
      <w:tblPr>
        <w:tblW w:w="0" w:type="auto"/>
        <w:jc w:val="left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5"/>
        <w:gridCol w:w="174"/>
        <w:gridCol w:w="617"/>
        <w:gridCol w:w="174"/>
        <w:gridCol w:w="602"/>
        <w:gridCol w:w="174"/>
        <w:gridCol w:w="602"/>
        <w:gridCol w:w="174"/>
        <w:gridCol w:w="573"/>
        <w:gridCol w:w="174"/>
        <w:gridCol w:w="588"/>
        <w:gridCol w:w="174"/>
        <w:gridCol w:w="676"/>
        <w:gridCol w:w="174"/>
        <w:gridCol w:w="645"/>
        <w:gridCol w:w="174"/>
        <w:gridCol w:w="748"/>
        <w:gridCol w:w="174"/>
        <w:gridCol w:w="695"/>
      </w:tblGrid>
      <w:tr>
        <w:trPr>
          <w:trHeight w:val="176" w:hRule="atLeast"/>
        </w:trPr>
        <w:tc>
          <w:tcPr>
            <w:tcW w:w="3052" w:type="dxa"/>
            <w:gridSpan w:val="5"/>
            <w:tcBorders>
              <w:top w:val="single" w:sz="8" w:space="0" w:color="000000"/>
            </w:tcBorders>
          </w:tcPr>
          <w:p>
            <w:pPr>
              <w:pStyle w:val="TableParagraph"/>
              <w:spacing w:line="154" w:lineRule="exact" w:before="2"/>
              <w:ind w:left="1973"/>
              <w:rPr>
                <w:sz w:val="14"/>
              </w:rPr>
            </w:pPr>
            <w:r>
              <w:rPr>
                <w:w w:val="105"/>
                <w:sz w:val="14"/>
              </w:rPr>
              <w:t>Bed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Leased</w:t>
            </w:r>
          </w:p>
        </w:tc>
        <w:tc>
          <w:tcPr>
            <w:tcW w:w="1523" w:type="dxa"/>
            <w:gridSpan w:val="4"/>
            <w:tcBorders>
              <w:top w:val="single" w:sz="8" w:space="0" w:color="000000"/>
            </w:tcBorders>
          </w:tcPr>
          <w:p>
            <w:pPr>
              <w:pStyle w:val="TableParagraph"/>
              <w:spacing w:line="154" w:lineRule="exact" w:before="2"/>
              <w:ind w:left="516"/>
              <w:rPr>
                <w:sz w:val="14"/>
              </w:rPr>
            </w:pPr>
            <w:r>
              <w:rPr>
                <w:w w:val="105"/>
                <w:sz w:val="14"/>
              </w:rPr>
              <w:t>Number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5"/>
                <w:w w:val="105"/>
                <w:sz w:val="14"/>
              </w:rPr>
              <w:t>of</w:t>
            </w:r>
          </w:p>
        </w:tc>
        <w:tc>
          <w:tcPr>
            <w:tcW w:w="1612" w:type="dxa"/>
            <w:gridSpan w:val="4"/>
            <w:tcBorders>
              <w:top w:val="single" w:sz="8" w:space="0" w:color="000000"/>
            </w:tcBorders>
          </w:tcPr>
          <w:p>
            <w:pPr>
              <w:pStyle w:val="TableParagraph"/>
              <w:spacing w:line="154" w:lineRule="exact" w:before="2"/>
              <w:ind w:left="315"/>
              <w:rPr>
                <w:sz w:val="14"/>
              </w:rPr>
            </w:pPr>
            <w:r>
              <w:rPr>
                <w:w w:val="105"/>
                <w:sz w:val="14"/>
              </w:rPr>
              <w:t>Number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Vacant</w:t>
            </w:r>
          </w:p>
        </w:tc>
        <w:tc>
          <w:tcPr>
            <w:tcW w:w="819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4" w:lineRule="exact" w:before="2"/>
              <w:ind w:left="2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w w:val="105"/>
                <w:sz w:val="14"/>
              </w:rPr>
              <w:t>2024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4" w:lineRule="exact" w:before="2"/>
              <w:ind w:left="1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w w:val="105"/>
                <w:sz w:val="14"/>
              </w:rPr>
              <w:t>2023</w:t>
            </w:r>
          </w:p>
        </w:tc>
      </w:tr>
      <w:tr>
        <w:trPr>
          <w:trHeight w:val="188" w:hRule="atLeast"/>
        </w:trPr>
        <w:tc>
          <w:tcPr>
            <w:tcW w:w="3052" w:type="dxa"/>
            <w:gridSpan w:val="5"/>
          </w:tcPr>
          <w:p>
            <w:pPr>
              <w:pStyle w:val="TableParagraph"/>
              <w:spacing w:before="2"/>
              <w:ind w:left="1768"/>
              <w:rPr>
                <w:sz w:val="14"/>
              </w:rPr>
            </w:pPr>
            <w:r>
              <w:rPr>
                <w:w w:val="105"/>
                <w:sz w:val="14"/>
              </w:rPr>
              <w:t>Units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Reported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5"/>
                <w:w w:val="105"/>
                <w:sz w:val="14"/>
              </w:rPr>
              <w:t>(a)</w:t>
            </w:r>
          </w:p>
        </w:tc>
        <w:tc>
          <w:tcPr>
            <w:tcW w:w="1523" w:type="dxa"/>
            <w:gridSpan w:val="4"/>
          </w:tcPr>
          <w:p>
            <w:pPr>
              <w:pStyle w:val="TableParagraph"/>
              <w:spacing w:before="2"/>
              <w:ind w:left="263"/>
              <w:rPr>
                <w:sz w:val="14"/>
              </w:rPr>
            </w:pPr>
            <w:r>
              <w:rPr>
                <w:w w:val="105"/>
                <w:sz w:val="14"/>
              </w:rPr>
              <w:t>Beds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Reported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5"/>
                <w:w w:val="105"/>
                <w:sz w:val="14"/>
              </w:rPr>
              <w:t>(b)</w:t>
            </w:r>
          </w:p>
        </w:tc>
        <w:tc>
          <w:tcPr>
            <w:tcW w:w="1612" w:type="dxa"/>
            <w:gridSpan w:val="4"/>
          </w:tcPr>
          <w:p>
            <w:pPr>
              <w:pStyle w:val="TableParagraph"/>
              <w:spacing w:before="2"/>
              <w:ind w:left="313"/>
              <w:rPr>
                <w:sz w:val="14"/>
              </w:rPr>
            </w:pPr>
            <w:r>
              <w:rPr>
                <w:w w:val="105"/>
                <w:sz w:val="14"/>
              </w:rPr>
              <w:t>Beds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Reported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5"/>
                <w:w w:val="105"/>
                <w:sz w:val="14"/>
              </w:rPr>
              <w:t>(c)</w:t>
            </w:r>
          </w:p>
        </w:tc>
        <w:tc>
          <w:tcPr>
            <w:tcW w:w="819" w:type="dxa"/>
            <w:gridSpan w:val="2"/>
          </w:tcPr>
          <w:p>
            <w:pPr>
              <w:pStyle w:val="TableParagraph"/>
              <w:spacing w:before="2"/>
              <w:ind w:left="23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Vacancy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"/>
              <w:ind w:right="7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Vacancy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"/>
              <w:ind w:right="5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Vacancy</w:t>
            </w:r>
          </w:p>
        </w:tc>
      </w:tr>
      <w:tr>
        <w:trPr>
          <w:trHeight w:val="164" w:hRule="atLeast"/>
        </w:trPr>
        <w:tc>
          <w:tcPr>
            <w:tcW w:w="14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4" w:lineRule="exact" w:before="2"/>
              <w:ind w:left="4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Unit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>Size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54" w:lineRule="exact" w:before="2"/>
              <w:ind w:right="3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Number</w:t>
            </w:r>
          </w:p>
        </w:tc>
        <w:tc>
          <w:tcPr>
            <w:tcW w:w="17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54" w:lineRule="exact" w:before="2"/>
              <w:ind w:right="3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Percent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54" w:lineRule="exact" w:before="2"/>
              <w:ind w:left="17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Number</w:t>
            </w:r>
          </w:p>
        </w:tc>
        <w:tc>
          <w:tcPr>
            <w:tcW w:w="17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54" w:lineRule="exact" w:before="2"/>
              <w:ind w:right="24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Percent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54" w:lineRule="exact" w:before="2"/>
              <w:ind w:right="21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Number</w:t>
            </w:r>
          </w:p>
        </w:tc>
        <w:tc>
          <w:tcPr>
            <w:tcW w:w="17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54" w:lineRule="exact" w:before="2"/>
              <w:ind w:right="72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Percent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4" w:lineRule="exact" w:before="2"/>
              <w:ind w:right="4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Rate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5"/>
                <w:w w:val="105"/>
                <w:sz w:val="14"/>
              </w:rPr>
              <w:t>(d)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4" w:lineRule="exact" w:before="2"/>
              <w:ind w:left="124"/>
              <w:rPr>
                <w:sz w:val="14"/>
              </w:rPr>
            </w:pPr>
            <w:r>
              <w:rPr>
                <w:w w:val="105"/>
                <w:sz w:val="14"/>
              </w:rPr>
              <w:t>Rate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5"/>
                <w:w w:val="105"/>
                <w:sz w:val="14"/>
              </w:rPr>
              <w:t>(d)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4" w:lineRule="exact" w:before="2"/>
              <w:ind w:right="7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Rate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5"/>
                <w:w w:val="105"/>
                <w:sz w:val="14"/>
              </w:rPr>
              <w:t>(d)</w:t>
            </w:r>
          </w:p>
        </w:tc>
      </w:tr>
      <w:tr>
        <w:trPr>
          <w:trHeight w:val="181" w:hRule="atLeast"/>
        </w:trPr>
        <w:tc>
          <w:tcPr>
            <w:tcW w:w="14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9" w:lineRule="exact" w:before="2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Studio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&amp;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1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Bedroom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9" w:lineRule="exact" w:before="2"/>
              <w:ind w:right="29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878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9" w:lineRule="exact" w:before="2"/>
              <w:ind w:right="30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24%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9" w:lineRule="exact" w:before="2"/>
              <w:ind w:left="176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1,154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9" w:lineRule="exact" w:before="2"/>
              <w:ind w:right="29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11%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9" w:lineRule="exact" w:before="2"/>
              <w:ind w:right="2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67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9" w:lineRule="exact" w:before="2"/>
              <w:ind w:right="2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15%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9" w:lineRule="exact" w:before="2"/>
              <w:ind w:right="25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5.8%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9" w:lineRule="exact" w:before="2"/>
              <w:ind w:right="24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3.8%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9" w:lineRule="exact" w:before="2"/>
              <w:ind w:right="43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4.0%</w:t>
            </w:r>
          </w:p>
        </w:tc>
      </w:tr>
      <w:tr>
        <w:trPr>
          <w:trHeight w:val="196" w:hRule="atLeast"/>
        </w:trPr>
        <w:tc>
          <w:tcPr>
            <w:tcW w:w="1485" w:type="dxa"/>
          </w:tcPr>
          <w:p>
            <w:pPr>
              <w:pStyle w:val="TableParagraph"/>
              <w:spacing w:line="159" w:lineRule="exact" w:before="17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2</w:t>
            </w:r>
            <w:r>
              <w:rPr>
                <w:spacing w:val="-1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Bedroom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spacing w:line="159" w:lineRule="exact" w:before="17"/>
              <w:ind w:right="2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1,253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spacing w:line="159" w:lineRule="exact" w:before="17"/>
              <w:ind w:right="30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34%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spacing w:line="159" w:lineRule="exact" w:before="17"/>
              <w:ind w:left="176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2,683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spacing w:line="159" w:lineRule="exact" w:before="17"/>
              <w:ind w:right="29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26%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spacing w:line="159" w:lineRule="exact" w:before="17"/>
              <w:ind w:right="2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197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spacing w:line="159" w:lineRule="exact" w:before="17"/>
              <w:ind w:right="2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43%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line="159" w:lineRule="exact" w:before="17"/>
              <w:ind w:right="25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7.3%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line="159" w:lineRule="exact" w:before="17"/>
              <w:ind w:right="24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3.3%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spacing w:line="159" w:lineRule="exact" w:before="17"/>
              <w:ind w:right="43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2.8%</w:t>
            </w:r>
          </w:p>
        </w:tc>
      </w:tr>
      <w:tr>
        <w:trPr>
          <w:trHeight w:val="196" w:hRule="atLeast"/>
        </w:trPr>
        <w:tc>
          <w:tcPr>
            <w:tcW w:w="1485" w:type="dxa"/>
          </w:tcPr>
          <w:p>
            <w:pPr>
              <w:pStyle w:val="TableParagraph"/>
              <w:spacing w:line="159" w:lineRule="exact" w:before="17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3</w:t>
            </w:r>
            <w:r>
              <w:rPr>
                <w:spacing w:val="-1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Bedroom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spacing w:line="159" w:lineRule="exact" w:before="17"/>
              <w:ind w:right="29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396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spacing w:line="159" w:lineRule="exact" w:before="17"/>
              <w:ind w:right="30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11%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>
            <w:pPr>
              <w:pStyle w:val="TableParagraph"/>
              <w:spacing w:line="159" w:lineRule="exact" w:before="17"/>
              <w:ind w:left="176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1,378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3" w:type="dxa"/>
          </w:tcPr>
          <w:p>
            <w:pPr>
              <w:pStyle w:val="TableParagraph"/>
              <w:spacing w:line="159" w:lineRule="exact" w:before="17"/>
              <w:ind w:right="29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13%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spacing w:line="159" w:lineRule="exact" w:before="17"/>
              <w:ind w:right="2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82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spacing w:line="159" w:lineRule="exact" w:before="17"/>
              <w:ind w:right="2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18%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spacing w:line="159" w:lineRule="exact" w:before="17"/>
              <w:ind w:right="25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6.0%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line="159" w:lineRule="exact" w:before="17"/>
              <w:ind w:right="24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6.1%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5" w:type="dxa"/>
          </w:tcPr>
          <w:p>
            <w:pPr>
              <w:pStyle w:val="TableParagraph"/>
              <w:spacing w:line="159" w:lineRule="exact" w:before="17"/>
              <w:ind w:right="43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7.5%</w:t>
            </w:r>
          </w:p>
        </w:tc>
      </w:tr>
      <w:tr>
        <w:trPr>
          <w:trHeight w:val="191" w:hRule="atLeast"/>
        </w:trPr>
        <w:tc>
          <w:tcPr>
            <w:tcW w:w="14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4" w:lineRule="exact" w:before="17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4+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Bedroom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4" w:lineRule="exact" w:before="17"/>
              <w:ind w:right="29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1,137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4" w:lineRule="exact" w:before="17"/>
              <w:ind w:right="30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31%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4" w:lineRule="exact" w:before="17"/>
              <w:ind w:left="176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5,114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4" w:lineRule="exact" w:before="17"/>
              <w:ind w:right="30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50%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4" w:lineRule="exact" w:before="17"/>
              <w:ind w:right="2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114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4" w:lineRule="exact" w:before="17"/>
              <w:ind w:right="26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25%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4" w:lineRule="exact" w:before="17"/>
              <w:ind w:right="25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2.2%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4" w:lineRule="exact" w:before="17"/>
              <w:ind w:right="24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3.7%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4" w:lineRule="exact" w:before="17"/>
              <w:ind w:right="43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7.1%</w:t>
            </w:r>
          </w:p>
        </w:tc>
      </w:tr>
      <w:tr>
        <w:trPr>
          <w:trHeight w:val="290" w:hRule="atLeast"/>
        </w:trPr>
        <w:tc>
          <w:tcPr>
            <w:tcW w:w="1485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4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Total,</w:t>
            </w:r>
            <w:r>
              <w:rPr>
                <w:rFonts w:ascii="Arial"/>
                <w:b/>
                <w:spacing w:val="-9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All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>Sizes</w:t>
            </w:r>
          </w:p>
        </w:tc>
        <w:tc>
          <w:tcPr>
            <w:tcW w:w="17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2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105"/>
                <w:sz w:val="14"/>
              </w:rPr>
              <w:t>3,664</w:t>
            </w:r>
          </w:p>
        </w:tc>
        <w:tc>
          <w:tcPr>
            <w:tcW w:w="17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28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w w:val="105"/>
                <w:sz w:val="14"/>
              </w:rPr>
              <w:t>100%</w:t>
            </w:r>
          </w:p>
        </w:tc>
        <w:tc>
          <w:tcPr>
            <w:tcW w:w="17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9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105"/>
                <w:sz w:val="14"/>
              </w:rPr>
              <w:t>10,329</w:t>
            </w:r>
          </w:p>
        </w:tc>
        <w:tc>
          <w:tcPr>
            <w:tcW w:w="17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2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w w:val="105"/>
                <w:sz w:val="14"/>
              </w:rPr>
              <w:t>100%</w:t>
            </w:r>
          </w:p>
        </w:tc>
        <w:tc>
          <w:tcPr>
            <w:tcW w:w="17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8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2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w w:val="105"/>
                <w:sz w:val="14"/>
              </w:rPr>
              <w:t>460</w:t>
            </w:r>
          </w:p>
        </w:tc>
        <w:tc>
          <w:tcPr>
            <w:tcW w:w="17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6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2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w w:val="105"/>
                <w:sz w:val="14"/>
              </w:rPr>
              <w:t>100%</w:t>
            </w:r>
          </w:p>
        </w:tc>
        <w:tc>
          <w:tcPr>
            <w:tcW w:w="17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2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w w:val="105"/>
                <w:sz w:val="14"/>
              </w:rPr>
              <w:t>4.5%</w:t>
            </w:r>
          </w:p>
        </w:tc>
        <w:tc>
          <w:tcPr>
            <w:tcW w:w="17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2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w w:val="105"/>
                <w:sz w:val="14"/>
              </w:rPr>
              <w:t>3.8%</w:t>
            </w:r>
          </w:p>
        </w:tc>
        <w:tc>
          <w:tcPr>
            <w:tcW w:w="17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5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right="4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w w:val="105"/>
                <w:sz w:val="14"/>
              </w:rPr>
              <w:t>5.9%</w:t>
            </w:r>
          </w:p>
        </w:tc>
      </w:tr>
    </w:tbl>
    <w:p>
      <w:pPr>
        <w:spacing w:before="12"/>
        <w:ind w:left="288" w:right="0" w:firstLine="0"/>
        <w:jc w:val="left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Notes:</w:t>
      </w:r>
    </w:p>
    <w:p>
      <w:pPr>
        <w:pStyle w:val="ListParagraph"/>
        <w:numPr>
          <w:ilvl w:val="0"/>
          <w:numId w:val="3"/>
        </w:numPr>
        <w:tabs>
          <w:tab w:pos="569" w:val="left" w:leader="none"/>
        </w:tabs>
        <w:spacing w:line="184" w:lineRule="exact" w:before="1" w:after="0"/>
        <w:ind w:left="569" w:right="0" w:hanging="281"/>
        <w:jc w:val="left"/>
        <w:rPr>
          <w:sz w:val="16"/>
        </w:rPr>
      </w:pPr>
      <w:r>
        <w:rPr>
          <w:sz w:val="16"/>
        </w:rPr>
        <w:t>Includes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number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units,</w:t>
      </w:r>
      <w:r>
        <w:rPr>
          <w:spacing w:val="-6"/>
          <w:sz w:val="16"/>
        </w:rPr>
        <w:t> </w:t>
      </w:r>
      <w:r>
        <w:rPr>
          <w:sz w:val="16"/>
        </w:rPr>
        <w:t>by</w:t>
      </w:r>
      <w:r>
        <w:rPr>
          <w:spacing w:val="-4"/>
          <w:sz w:val="16"/>
        </w:rPr>
        <w:t> </w:t>
      </w:r>
      <w:r>
        <w:rPr>
          <w:sz w:val="16"/>
        </w:rPr>
        <w:t>unit</w:t>
      </w:r>
      <w:r>
        <w:rPr>
          <w:spacing w:val="-5"/>
          <w:sz w:val="16"/>
        </w:rPr>
        <w:t> </w:t>
      </w:r>
      <w:r>
        <w:rPr>
          <w:sz w:val="16"/>
        </w:rPr>
        <w:t>type,</w:t>
      </w:r>
      <w:r>
        <w:rPr>
          <w:spacing w:val="-6"/>
          <w:sz w:val="16"/>
        </w:rPr>
        <w:t> </w:t>
      </w:r>
      <w:r>
        <w:rPr>
          <w:sz w:val="16"/>
        </w:rPr>
        <w:t>reported</w:t>
      </w:r>
      <w:r>
        <w:rPr>
          <w:spacing w:val="-5"/>
          <w:sz w:val="16"/>
        </w:rPr>
        <w:t> </w:t>
      </w:r>
      <w:r>
        <w:rPr>
          <w:sz w:val="16"/>
        </w:rPr>
        <w:t>by</w:t>
      </w:r>
      <w:r>
        <w:rPr>
          <w:spacing w:val="-5"/>
          <w:sz w:val="16"/>
        </w:rPr>
        <w:t> </w:t>
      </w:r>
      <w:r>
        <w:rPr>
          <w:sz w:val="16"/>
        </w:rPr>
        <w:t>respondents</w:t>
      </w:r>
      <w:r>
        <w:rPr>
          <w:spacing w:val="-4"/>
          <w:sz w:val="16"/>
        </w:rPr>
        <w:t> </w:t>
      </w:r>
      <w:r>
        <w:rPr>
          <w:sz w:val="16"/>
        </w:rPr>
        <w:t>as</w:t>
      </w:r>
      <w:r>
        <w:rPr>
          <w:spacing w:val="-4"/>
          <w:sz w:val="16"/>
        </w:rPr>
        <w:t> </w:t>
      </w:r>
      <w:r>
        <w:rPr>
          <w:sz w:val="16"/>
        </w:rPr>
        <w:t>rented</w:t>
      </w:r>
      <w:r>
        <w:rPr>
          <w:spacing w:val="-6"/>
          <w:sz w:val="16"/>
        </w:rPr>
        <w:t> </w:t>
      </w:r>
      <w:r>
        <w:rPr>
          <w:sz w:val="16"/>
        </w:rPr>
        <w:t>on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6"/>
          <w:sz w:val="16"/>
        </w:rPr>
        <w:t> </w:t>
      </w:r>
      <w:r>
        <w:rPr>
          <w:sz w:val="16"/>
        </w:rPr>
        <w:t>per</w:t>
      </w:r>
      <w:r>
        <w:rPr>
          <w:spacing w:val="-5"/>
          <w:sz w:val="16"/>
        </w:rPr>
        <w:t> </w:t>
      </w:r>
      <w:r>
        <w:rPr>
          <w:sz w:val="16"/>
        </w:rPr>
        <w:t>bed</w:t>
      </w:r>
      <w:r>
        <w:rPr>
          <w:spacing w:val="-4"/>
          <w:sz w:val="16"/>
        </w:rPr>
        <w:t> </w:t>
      </w:r>
      <w:r>
        <w:rPr>
          <w:sz w:val="16"/>
        </w:rPr>
        <w:t>basis</w:t>
      </w:r>
      <w:r>
        <w:rPr>
          <w:spacing w:val="-4"/>
          <w:sz w:val="16"/>
        </w:rPr>
        <w:t> </w:t>
      </w:r>
      <w:r>
        <w:rPr>
          <w:sz w:val="16"/>
        </w:rPr>
        <w:t>(i.e.,</w:t>
      </w:r>
      <w:r>
        <w:rPr>
          <w:spacing w:val="-5"/>
          <w:sz w:val="16"/>
        </w:rPr>
        <w:t> </w:t>
      </w:r>
      <w:r>
        <w:rPr>
          <w:sz w:val="16"/>
        </w:rPr>
        <w:t>bed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lease).</w:t>
      </w:r>
    </w:p>
    <w:p>
      <w:pPr>
        <w:pStyle w:val="ListParagraph"/>
        <w:numPr>
          <w:ilvl w:val="0"/>
          <w:numId w:val="3"/>
        </w:numPr>
        <w:tabs>
          <w:tab w:pos="569" w:val="left" w:leader="none"/>
        </w:tabs>
        <w:spacing w:line="240" w:lineRule="auto" w:before="0" w:after="0"/>
        <w:ind w:left="288" w:right="685" w:firstLine="0"/>
        <w:jc w:val="left"/>
        <w:rPr>
          <w:sz w:val="16"/>
        </w:rPr>
      </w:pPr>
      <w:r>
        <w:rPr>
          <w:sz w:val="16"/>
        </w:rPr>
        <w:t>Includes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number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beds</w:t>
      </w:r>
      <w:r>
        <w:rPr>
          <w:spacing w:val="-2"/>
          <w:sz w:val="16"/>
        </w:rPr>
        <w:t> </w:t>
      </w:r>
      <w:r>
        <w:rPr>
          <w:sz w:val="16"/>
        </w:rPr>
        <w:t>located</w:t>
      </w:r>
      <w:r>
        <w:rPr>
          <w:spacing w:val="-3"/>
          <w:sz w:val="16"/>
        </w:rPr>
        <w:t> </w:t>
      </w:r>
      <w:r>
        <w:rPr>
          <w:sz w:val="16"/>
        </w:rPr>
        <w:t>within</w:t>
      </w:r>
      <w:r>
        <w:rPr>
          <w:spacing w:val="-3"/>
          <w:sz w:val="16"/>
        </w:rPr>
        <w:t> </w:t>
      </w:r>
      <w:r>
        <w:rPr>
          <w:sz w:val="16"/>
        </w:rPr>
        <w:t>bed-leased</w:t>
      </w:r>
      <w:r>
        <w:rPr>
          <w:spacing w:val="-3"/>
          <w:sz w:val="16"/>
        </w:rPr>
        <w:t> </w:t>
      </w:r>
      <w:r>
        <w:rPr>
          <w:sz w:val="16"/>
        </w:rPr>
        <w:t>units,</w:t>
      </w:r>
      <w:r>
        <w:rPr>
          <w:spacing w:val="-3"/>
          <w:sz w:val="16"/>
        </w:rPr>
        <w:t> </w:t>
      </w:r>
      <w:r>
        <w:rPr>
          <w:sz w:val="16"/>
        </w:rPr>
        <w:t>by</w:t>
      </w:r>
      <w:r>
        <w:rPr>
          <w:spacing w:val="-2"/>
          <w:sz w:val="16"/>
        </w:rPr>
        <w:t> </w:t>
      </w:r>
      <w:r>
        <w:rPr>
          <w:sz w:val="16"/>
        </w:rPr>
        <w:t>unit</w:t>
      </w:r>
      <w:r>
        <w:rPr>
          <w:spacing w:val="-3"/>
          <w:sz w:val="16"/>
        </w:rPr>
        <w:t> </w:t>
      </w:r>
      <w:r>
        <w:rPr>
          <w:sz w:val="16"/>
        </w:rPr>
        <w:t>type,</w:t>
      </w:r>
      <w:r>
        <w:rPr>
          <w:spacing w:val="-3"/>
          <w:sz w:val="16"/>
        </w:rPr>
        <w:t> </w:t>
      </w:r>
      <w:r>
        <w:rPr>
          <w:sz w:val="16"/>
        </w:rPr>
        <w:t>as</w:t>
      </w:r>
      <w:r>
        <w:rPr>
          <w:spacing w:val="-2"/>
          <w:sz w:val="16"/>
        </w:rPr>
        <w:t> </w:t>
      </w:r>
      <w:r>
        <w:rPr>
          <w:sz w:val="16"/>
        </w:rPr>
        <w:t>reported</w:t>
      </w:r>
      <w:r>
        <w:rPr>
          <w:spacing w:val="-3"/>
          <w:sz w:val="16"/>
        </w:rPr>
        <w:t> </w:t>
      </w:r>
      <w:r>
        <w:rPr>
          <w:sz w:val="16"/>
        </w:rPr>
        <w:t>by</w:t>
      </w:r>
      <w:r>
        <w:rPr>
          <w:spacing w:val="-2"/>
          <w:sz w:val="16"/>
        </w:rPr>
        <w:t> </w:t>
      </w:r>
      <w:r>
        <w:rPr>
          <w:sz w:val="16"/>
        </w:rPr>
        <w:t>survey</w:t>
      </w:r>
      <w:r>
        <w:rPr>
          <w:spacing w:val="-1"/>
          <w:sz w:val="16"/>
        </w:rPr>
        <w:t> </w:t>
      </w:r>
      <w:r>
        <w:rPr>
          <w:sz w:val="16"/>
        </w:rPr>
        <w:t>respondents.</w:t>
      </w:r>
      <w:r>
        <w:rPr>
          <w:spacing w:val="-3"/>
          <w:sz w:val="16"/>
        </w:rPr>
        <w:t> </w:t>
      </w:r>
      <w:r>
        <w:rPr>
          <w:sz w:val="16"/>
        </w:rPr>
        <w:t>May exclude some beds in cases where the survey respondent reported bed-leased units but did not report the associated number of leased.</w:t>
      </w:r>
    </w:p>
    <w:p>
      <w:pPr>
        <w:pStyle w:val="ListParagraph"/>
        <w:numPr>
          <w:ilvl w:val="0"/>
          <w:numId w:val="3"/>
        </w:numPr>
        <w:tabs>
          <w:tab w:pos="561" w:val="left" w:leader="none"/>
        </w:tabs>
        <w:spacing w:line="240" w:lineRule="auto" w:before="0" w:after="0"/>
        <w:ind w:left="288" w:right="320" w:firstLine="0"/>
        <w:jc w:val="left"/>
        <w:rPr>
          <w:sz w:val="16"/>
        </w:rPr>
      </w:pPr>
      <w:r>
        <w:rPr>
          <w:sz w:val="16"/>
        </w:rPr>
        <w:t>Includes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number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leasable</w:t>
      </w:r>
      <w:r>
        <w:rPr>
          <w:spacing w:val="-3"/>
          <w:sz w:val="16"/>
        </w:rPr>
        <w:t> </w:t>
      </w:r>
      <w:r>
        <w:rPr>
          <w:sz w:val="16"/>
        </w:rPr>
        <w:t>beds</w:t>
      </w:r>
      <w:r>
        <w:rPr>
          <w:spacing w:val="-2"/>
          <w:sz w:val="16"/>
        </w:rPr>
        <w:t> </w:t>
      </w:r>
      <w:r>
        <w:rPr>
          <w:sz w:val="16"/>
        </w:rPr>
        <w:t>reported</w:t>
      </w:r>
      <w:r>
        <w:rPr>
          <w:spacing w:val="-3"/>
          <w:sz w:val="16"/>
        </w:rPr>
        <w:t> </w:t>
      </w:r>
      <w:r>
        <w:rPr>
          <w:sz w:val="16"/>
        </w:rPr>
        <w:t>as</w:t>
      </w:r>
      <w:r>
        <w:rPr>
          <w:spacing w:val="-2"/>
          <w:sz w:val="16"/>
        </w:rPr>
        <w:t> </w:t>
      </w:r>
      <w:r>
        <w:rPr>
          <w:sz w:val="16"/>
        </w:rPr>
        <w:t>vacant,</w:t>
      </w:r>
      <w:r>
        <w:rPr>
          <w:spacing w:val="-3"/>
          <w:sz w:val="16"/>
        </w:rPr>
        <w:t> </w:t>
      </w:r>
      <w:r>
        <w:rPr>
          <w:sz w:val="16"/>
        </w:rPr>
        <w:t>by</w:t>
      </w:r>
      <w:r>
        <w:rPr>
          <w:spacing w:val="-2"/>
          <w:sz w:val="16"/>
        </w:rPr>
        <w:t> </w:t>
      </w:r>
      <w:r>
        <w:rPr>
          <w:sz w:val="16"/>
        </w:rPr>
        <w:t>unit</w:t>
      </w:r>
      <w:r>
        <w:rPr>
          <w:spacing w:val="-3"/>
          <w:sz w:val="16"/>
        </w:rPr>
        <w:t> </w:t>
      </w:r>
      <w:r>
        <w:rPr>
          <w:sz w:val="16"/>
        </w:rPr>
        <w:t>type,</w:t>
      </w:r>
      <w:r>
        <w:rPr>
          <w:spacing w:val="-3"/>
          <w:sz w:val="16"/>
        </w:rPr>
        <w:t> </w:t>
      </w:r>
      <w:r>
        <w:rPr>
          <w:sz w:val="16"/>
        </w:rPr>
        <w:t>as</w:t>
      </w:r>
      <w:r>
        <w:rPr>
          <w:spacing w:val="-2"/>
          <w:sz w:val="16"/>
        </w:rPr>
        <w:t> </w:t>
      </w:r>
      <w:r>
        <w:rPr>
          <w:sz w:val="16"/>
        </w:rPr>
        <w:t>reported</w:t>
      </w:r>
      <w:r>
        <w:rPr>
          <w:spacing w:val="-3"/>
          <w:sz w:val="16"/>
        </w:rPr>
        <w:t> </w:t>
      </w:r>
      <w:r>
        <w:rPr>
          <w:sz w:val="16"/>
        </w:rPr>
        <w:t>by</w:t>
      </w:r>
      <w:r>
        <w:rPr>
          <w:spacing w:val="-2"/>
          <w:sz w:val="16"/>
        </w:rPr>
        <w:t> </w:t>
      </w:r>
      <w:r>
        <w:rPr>
          <w:sz w:val="16"/>
        </w:rPr>
        <w:t>survey</w:t>
      </w:r>
      <w:r>
        <w:rPr>
          <w:spacing w:val="-2"/>
          <w:sz w:val="16"/>
        </w:rPr>
        <w:t> </w:t>
      </w:r>
      <w:r>
        <w:rPr>
          <w:sz w:val="16"/>
        </w:rPr>
        <w:t>respondents.</w:t>
      </w:r>
      <w:r>
        <w:rPr>
          <w:spacing w:val="-3"/>
          <w:sz w:val="16"/>
        </w:rPr>
        <w:t> </w:t>
      </w:r>
      <w:r>
        <w:rPr>
          <w:sz w:val="16"/>
        </w:rPr>
        <w:t>May</w:t>
      </w:r>
      <w:r>
        <w:rPr>
          <w:spacing w:val="-2"/>
          <w:sz w:val="16"/>
        </w:rPr>
        <w:t> </w:t>
      </w:r>
      <w:r>
        <w:rPr>
          <w:sz w:val="16"/>
        </w:rPr>
        <w:t>exclude some beds in cases where the survey respondent reported bed-leased units but did not report the associated number of leased or vacant beds.</w:t>
      </w:r>
    </w:p>
    <w:p>
      <w:pPr>
        <w:pStyle w:val="ListParagraph"/>
        <w:numPr>
          <w:ilvl w:val="0"/>
          <w:numId w:val="3"/>
        </w:numPr>
        <w:tabs>
          <w:tab w:pos="569" w:val="left" w:leader="none"/>
        </w:tabs>
        <w:spacing w:line="240" w:lineRule="auto" w:before="0" w:after="0"/>
        <w:ind w:left="288" w:right="500" w:firstLine="0"/>
        <w:jc w:val="left"/>
        <w:rPr>
          <w:sz w:val="16"/>
        </w:rPr>
      </w:pP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vacancy</w:t>
      </w:r>
      <w:r>
        <w:rPr>
          <w:spacing w:val="-2"/>
          <w:sz w:val="16"/>
        </w:rPr>
        <w:t> </w:t>
      </w:r>
      <w:r>
        <w:rPr>
          <w:sz w:val="16"/>
        </w:rPr>
        <w:t>rate</w:t>
      </w:r>
      <w:r>
        <w:rPr>
          <w:spacing w:val="-3"/>
          <w:sz w:val="16"/>
        </w:rPr>
        <w:t> </w:t>
      </w:r>
      <w:r>
        <w:rPr>
          <w:sz w:val="16"/>
        </w:rPr>
        <w:t>for</w:t>
      </w:r>
      <w:r>
        <w:rPr>
          <w:spacing w:val="-2"/>
          <w:sz w:val="16"/>
        </w:rPr>
        <w:t> </w:t>
      </w:r>
      <w:r>
        <w:rPr>
          <w:sz w:val="16"/>
        </w:rPr>
        <w:t>bed</w:t>
      </w:r>
      <w:r>
        <w:rPr>
          <w:spacing w:val="-3"/>
          <w:sz w:val="16"/>
        </w:rPr>
        <w:t> </w:t>
      </w:r>
      <w:r>
        <w:rPr>
          <w:sz w:val="16"/>
        </w:rPr>
        <w:t>leases</w:t>
      </w:r>
      <w:r>
        <w:rPr>
          <w:spacing w:val="-2"/>
          <w:sz w:val="16"/>
        </w:rPr>
        <w:t> </w:t>
      </w:r>
      <w:r>
        <w:rPr>
          <w:sz w:val="16"/>
        </w:rPr>
        <w:t>was</w:t>
      </w:r>
      <w:r>
        <w:rPr>
          <w:spacing w:val="-2"/>
          <w:sz w:val="16"/>
        </w:rPr>
        <w:t> </w:t>
      </w:r>
      <w:r>
        <w:rPr>
          <w:sz w:val="16"/>
        </w:rPr>
        <w:t>calculated</w:t>
      </w:r>
      <w:r>
        <w:rPr>
          <w:spacing w:val="-3"/>
          <w:sz w:val="16"/>
        </w:rPr>
        <w:t> </w:t>
      </w:r>
      <w:r>
        <w:rPr>
          <w:sz w:val="16"/>
        </w:rPr>
        <w:t>based</w:t>
      </w:r>
      <w:r>
        <w:rPr>
          <w:spacing w:val="-3"/>
          <w:sz w:val="16"/>
        </w:rPr>
        <w:t> </w:t>
      </w:r>
      <w:r>
        <w:rPr>
          <w:sz w:val="16"/>
        </w:rPr>
        <w:t>on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number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leased</w:t>
      </w:r>
      <w:r>
        <w:rPr>
          <w:spacing w:val="-1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vacant</w:t>
      </w:r>
      <w:r>
        <w:rPr>
          <w:spacing w:val="-3"/>
          <w:sz w:val="16"/>
        </w:rPr>
        <w:t> </w:t>
      </w:r>
      <w:r>
        <w:rPr>
          <w:sz w:val="16"/>
        </w:rPr>
        <w:t>beds</w:t>
      </w:r>
      <w:r>
        <w:rPr>
          <w:spacing w:val="-1"/>
          <w:sz w:val="16"/>
        </w:rPr>
        <w:t> </w:t>
      </w:r>
      <w:r>
        <w:rPr>
          <w:sz w:val="16"/>
        </w:rPr>
        <w:t>only,</w:t>
      </w:r>
      <w:r>
        <w:rPr>
          <w:spacing w:val="-3"/>
          <w:sz w:val="16"/>
        </w:rPr>
        <w:t> </w:t>
      </w:r>
      <w:r>
        <w:rPr>
          <w:sz w:val="16"/>
        </w:rPr>
        <w:t>as</w:t>
      </w:r>
      <w:r>
        <w:rPr>
          <w:spacing w:val="-2"/>
          <w:sz w:val="16"/>
        </w:rPr>
        <w:t> </w:t>
      </w:r>
      <w:r>
        <w:rPr>
          <w:sz w:val="16"/>
        </w:rPr>
        <w:t>reported</w:t>
      </w:r>
      <w:r>
        <w:rPr>
          <w:spacing w:val="-1"/>
          <w:sz w:val="16"/>
        </w:rPr>
        <w:t> </w:t>
      </w:r>
      <w:r>
        <w:rPr>
          <w:sz w:val="16"/>
        </w:rPr>
        <w:t>by survey respondents.</w:t>
      </w:r>
    </w:p>
    <w:p>
      <w:pPr>
        <w:spacing w:before="184"/>
        <w:ind w:left="288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Source:</w:t>
      </w:r>
      <w:r>
        <w:rPr>
          <w:rFonts w:ascii="Arial MT"/>
          <w:spacing w:val="36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5"/>
          <w:sz w:val="16"/>
        </w:rPr>
        <w:t> </w:t>
      </w:r>
      <w:r>
        <w:rPr>
          <w:rFonts w:ascii="Arial MT"/>
          <w:spacing w:val="-4"/>
          <w:sz w:val="16"/>
        </w:rPr>
        <w:t>2025.</w:t>
      </w:r>
    </w:p>
    <w:p>
      <w:pPr>
        <w:pStyle w:val="BodyText"/>
        <w:spacing w:before="157"/>
        <w:rPr>
          <w:rFonts w:ascii="Arial MT"/>
          <w:sz w:val="16"/>
        </w:rPr>
      </w:pPr>
    </w:p>
    <w:p>
      <w:pPr>
        <w:pStyle w:val="Heading1"/>
      </w:pPr>
      <w:bookmarkStart w:name="Blended Vacancy Rate" w:id="12"/>
      <w:bookmarkEnd w:id="12"/>
      <w:r>
        <w:rPr>
          <w:i w:val="0"/>
        </w:rPr>
      </w:r>
      <w:r>
        <w:rPr/>
        <w:t>Blended</w:t>
      </w:r>
      <w:r>
        <w:rPr>
          <w:spacing w:val="-2"/>
        </w:rPr>
        <w:t> </w:t>
      </w:r>
      <w:r>
        <w:rPr>
          <w:spacing w:val="9"/>
        </w:rPr>
        <w:t>Vacancy</w:t>
      </w:r>
      <w:r>
        <w:rPr>
          <w:spacing w:val="1"/>
        </w:rPr>
        <w:t> </w:t>
      </w:r>
      <w:r>
        <w:rPr>
          <w:spacing w:val="-4"/>
        </w:rPr>
        <w:t>Rate</w:t>
      </w:r>
    </w:p>
    <w:p>
      <w:pPr>
        <w:pStyle w:val="BodyText"/>
        <w:spacing w:line="288" w:lineRule="auto" w:before="48"/>
        <w:ind w:left="287" w:right="288"/>
      </w:pPr>
      <w:r>
        <w:rPr/>
        <w:t>To</w:t>
      </w:r>
      <w:r>
        <w:rPr>
          <w:spacing w:val="-3"/>
        </w:rPr>
        <w:t> </w:t>
      </w:r>
      <w:r>
        <w:rPr/>
        <w:t>estimate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community-wide</w:t>
      </w:r>
      <w:r>
        <w:rPr>
          <w:spacing w:val="-4"/>
        </w:rPr>
        <w:t> </w:t>
      </w:r>
      <w:r>
        <w:rPr/>
        <w:t>vacancy</w:t>
      </w:r>
      <w:r>
        <w:rPr>
          <w:spacing w:val="-3"/>
        </w:rPr>
        <w:t> </w:t>
      </w:r>
      <w:r>
        <w:rPr/>
        <w:t>rate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lease</w:t>
      </w:r>
      <w:r>
        <w:rPr>
          <w:spacing w:val="-4"/>
        </w:rPr>
        <w:t> </w:t>
      </w:r>
      <w:r>
        <w:rPr/>
        <w:t>types,</w:t>
      </w:r>
      <w:r>
        <w:rPr>
          <w:spacing w:val="-3"/>
        </w:rPr>
        <w:t> </w:t>
      </w:r>
      <w:r>
        <w:rPr/>
        <w:t>BAE</w:t>
      </w:r>
      <w:r>
        <w:rPr>
          <w:spacing w:val="-4"/>
        </w:rPr>
        <w:t> </w:t>
      </w:r>
      <w:r>
        <w:rPr/>
        <w:t>combined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unit</w:t>
      </w:r>
      <w:r>
        <w:rPr>
          <w:spacing w:val="-4"/>
        </w:rPr>
        <w:t> </w:t>
      </w:r>
      <w:r>
        <w:rPr/>
        <w:t>lease and bed lease vacancy rates, to generate a combined, or “blended,” vacancy estimate.</w:t>
      </w:r>
      <w:hyperlink w:history="true" w:anchor="_bookmark4">
        <w:r>
          <w:rPr>
            <w:position w:val="5"/>
            <w:sz w:val="14"/>
          </w:rPr>
          <w:t>5</w:t>
        </w:r>
      </w:hyperlink>
      <w:r>
        <w:rPr>
          <w:spacing w:val="80"/>
          <w:position w:val="5"/>
          <w:sz w:val="14"/>
        </w:rPr>
        <w:t> </w:t>
      </w:r>
      <w:r>
        <w:rPr/>
        <w:t>The results of the blended vacancy rate calculations for the 2025 survey are shown in Table 3 on the</w:t>
      </w:r>
      <w:r>
        <w:rPr>
          <w:spacing w:val="-3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page.</w:t>
      </w:r>
      <w:r>
        <w:rPr>
          <w:spacing w:val="-2"/>
        </w:rPr>
        <w:t> </w:t>
      </w:r>
      <w:r>
        <w:rPr/>
        <w:t>Given</w:t>
      </w:r>
      <w:r>
        <w:rPr>
          <w:spacing w:val="-1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vacancy</w:t>
      </w:r>
      <w:r>
        <w:rPr>
          <w:spacing w:val="-2"/>
        </w:rPr>
        <w:t> </w:t>
      </w:r>
      <w:r>
        <w:rPr/>
        <w:t>rate</w:t>
      </w:r>
      <w:r>
        <w:rPr>
          <w:spacing w:val="-3"/>
        </w:rPr>
        <w:t> </w:t>
      </w:r>
      <w:r>
        <w:rPr/>
        <w:t>was</w:t>
      </w:r>
      <w:r>
        <w:rPr>
          <w:spacing w:val="-2"/>
        </w:rPr>
        <w:t> </w:t>
      </w:r>
      <w:r>
        <w:rPr/>
        <w:t>fairly</w:t>
      </w:r>
      <w:r>
        <w:rPr>
          <w:spacing w:val="-2"/>
        </w:rPr>
        <w:t> </w:t>
      </w:r>
      <w:r>
        <w:rPr/>
        <w:t>similar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unit-lease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bed-lease apartments,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blended</w:t>
      </w:r>
      <w:r>
        <w:rPr>
          <w:spacing w:val="-11"/>
        </w:rPr>
        <w:t> </w:t>
      </w:r>
      <w:r>
        <w:rPr/>
        <w:t>vacancy</w:t>
      </w:r>
      <w:r>
        <w:rPr>
          <w:spacing w:val="-12"/>
        </w:rPr>
        <w:t> </w:t>
      </w:r>
      <w:r>
        <w:rPr/>
        <w:t>rate</w:t>
      </w:r>
      <w:r>
        <w:rPr>
          <w:spacing w:val="-11"/>
        </w:rPr>
        <w:t> </w:t>
      </w:r>
      <w:r>
        <w:rPr/>
        <w:t>aligns</w:t>
      </w:r>
      <w:r>
        <w:rPr>
          <w:spacing w:val="-12"/>
        </w:rPr>
        <w:t> </w:t>
      </w:r>
      <w:r>
        <w:rPr/>
        <w:t>with</w:t>
      </w:r>
      <w:r>
        <w:rPr>
          <w:spacing w:val="-12"/>
        </w:rPr>
        <w:t> </w:t>
      </w:r>
      <w:r>
        <w:rPr/>
        <w:t>these</w:t>
      </w:r>
      <w:r>
        <w:rPr>
          <w:spacing w:val="-12"/>
        </w:rPr>
        <w:t> </w:t>
      </w:r>
      <w:r>
        <w:rPr/>
        <w:t>rates.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blended</w:t>
      </w:r>
      <w:r>
        <w:rPr>
          <w:spacing w:val="-12"/>
        </w:rPr>
        <w:t> </w:t>
      </w:r>
      <w:r>
        <w:rPr/>
        <w:t>vacancy</w:t>
      </w:r>
      <w:r>
        <w:rPr>
          <w:spacing w:val="-12"/>
        </w:rPr>
        <w:t> </w:t>
      </w:r>
      <w:r>
        <w:rPr/>
        <w:t>rate</w:t>
      </w:r>
      <w:r>
        <w:rPr>
          <w:spacing w:val="-12"/>
        </w:rPr>
        <w:t> </w:t>
      </w:r>
      <w:r>
        <w:rPr/>
        <w:t>for</w:t>
      </w:r>
      <w:r>
        <w:rPr>
          <w:spacing w:val="-12"/>
        </w:rPr>
        <w:t> </w:t>
      </w:r>
      <w:r>
        <w:rPr/>
        <w:t>all rental units is 3.5 percent. This vacancy rate</w:t>
      </w:r>
      <w:r>
        <w:rPr>
          <w:spacing w:val="-1"/>
        </w:rPr>
        <w:t> </w:t>
      </w:r>
      <w:r>
        <w:rPr/>
        <w:t>is slightly lower than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2024 blended vacancy rate of 4.0 percent, both of which are well above the historical blended vacancy rates.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1097280</wp:posOffset>
                </wp:positionH>
                <wp:positionV relativeFrom="paragraph">
                  <wp:posOffset>212315</wp:posOffset>
                </wp:positionV>
                <wp:extent cx="1828800" cy="6985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18288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98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858"/>
                              </a:lnTo>
                              <a:lnTo>
                                <a:pt x="1828800" y="6858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6.400002pt;margin-top:16.717737pt;width:144pt;height:.54pt;mso-position-horizontal-relative:page;mso-position-vertical-relative:paragraph;z-index:-15724544;mso-wrap-distance-left:0;mso-wrap-distance-right:0" id="docshape5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9"/>
        </w:rPr>
      </w:pPr>
    </w:p>
    <w:p>
      <w:pPr>
        <w:pStyle w:val="BodyText"/>
        <w:spacing w:before="45"/>
        <w:rPr>
          <w:sz w:val="19"/>
        </w:rPr>
      </w:pPr>
    </w:p>
    <w:p>
      <w:pPr>
        <w:spacing w:line="336" w:lineRule="auto" w:before="0"/>
        <w:ind w:left="288" w:right="384" w:firstLine="0"/>
        <w:jc w:val="left"/>
        <w:rPr>
          <w:sz w:val="19"/>
        </w:rPr>
      </w:pPr>
      <w:bookmarkStart w:name="_bookmark3" w:id="13"/>
      <w:bookmarkEnd w:id="13"/>
      <w:r>
        <w:rPr/>
      </w:r>
      <w:r>
        <w:rPr>
          <w:position w:val="5"/>
          <w:sz w:val="13"/>
        </w:rPr>
        <w:t>4</w:t>
      </w:r>
      <w:r>
        <w:rPr>
          <w:spacing w:val="-1"/>
          <w:position w:val="5"/>
          <w:sz w:val="13"/>
        </w:rPr>
        <w:t> </w:t>
      </w:r>
      <w:r>
        <w:rPr>
          <w:sz w:val="19"/>
        </w:rPr>
        <w:t>According</w:t>
      </w:r>
      <w:r>
        <w:rPr>
          <w:spacing w:val="-12"/>
          <w:sz w:val="19"/>
        </w:rPr>
        <w:t> </w:t>
      </w:r>
      <w:r>
        <w:rPr>
          <w:sz w:val="19"/>
        </w:rPr>
        <w:t>to</w:t>
      </w:r>
      <w:r>
        <w:rPr>
          <w:spacing w:val="-12"/>
          <w:sz w:val="19"/>
        </w:rPr>
        <w:t> </w:t>
      </w:r>
      <w:r>
        <w:rPr>
          <w:sz w:val="19"/>
        </w:rPr>
        <w:t>data</w:t>
      </w:r>
      <w:r>
        <w:rPr>
          <w:spacing w:val="-11"/>
          <w:sz w:val="19"/>
        </w:rPr>
        <w:t> </w:t>
      </w:r>
      <w:r>
        <w:rPr>
          <w:sz w:val="19"/>
        </w:rPr>
        <w:t>published</w:t>
      </w:r>
      <w:r>
        <w:rPr>
          <w:spacing w:val="-12"/>
          <w:sz w:val="19"/>
        </w:rPr>
        <w:t> </w:t>
      </w:r>
      <w:r>
        <w:rPr>
          <w:sz w:val="19"/>
        </w:rPr>
        <w:t>by</w:t>
      </w:r>
      <w:r>
        <w:rPr>
          <w:spacing w:val="-12"/>
          <w:sz w:val="19"/>
        </w:rPr>
        <w:t> </w:t>
      </w:r>
      <w:r>
        <w:rPr>
          <w:sz w:val="19"/>
        </w:rPr>
        <w:t>UC</w:t>
      </w:r>
      <w:r>
        <w:rPr>
          <w:spacing w:val="-12"/>
          <w:sz w:val="19"/>
        </w:rPr>
        <w:t> </w:t>
      </w:r>
      <w:r>
        <w:rPr>
          <w:sz w:val="19"/>
        </w:rPr>
        <w:t>Davis,</w:t>
      </w:r>
      <w:r>
        <w:rPr>
          <w:spacing w:val="-12"/>
          <w:sz w:val="19"/>
        </w:rPr>
        <w:t> </w:t>
      </w:r>
      <w:r>
        <w:rPr>
          <w:sz w:val="19"/>
        </w:rPr>
        <w:t>available</w:t>
      </w:r>
      <w:r>
        <w:rPr>
          <w:spacing w:val="-12"/>
          <w:sz w:val="19"/>
        </w:rPr>
        <w:t> </w:t>
      </w:r>
      <w:r>
        <w:rPr>
          <w:sz w:val="19"/>
        </w:rPr>
        <w:t>at</w:t>
      </w:r>
      <w:r>
        <w:rPr>
          <w:spacing w:val="-12"/>
          <w:sz w:val="19"/>
        </w:rPr>
        <w:t> </w:t>
      </w:r>
      <w:hyperlink r:id="rId45">
        <w:r>
          <w:rPr>
            <w:color w:val="4B5E7B"/>
            <w:sz w:val="19"/>
            <w:u w:val="single" w:color="4B5E7B"/>
          </w:rPr>
          <w:t>https://aggiedata.ucdavis.edu/</w:t>
        </w:r>
        <w:r>
          <w:rPr>
            <w:sz w:val="19"/>
          </w:rPr>
          <w:t>,</w:t>
        </w:r>
      </w:hyperlink>
      <w:r>
        <w:rPr>
          <w:spacing w:val="-12"/>
          <w:sz w:val="19"/>
        </w:rPr>
        <w:t> </w:t>
      </w:r>
      <w:r>
        <w:rPr>
          <w:sz w:val="19"/>
        </w:rPr>
        <w:t>the</w:t>
      </w:r>
      <w:r>
        <w:rPr>
          <w:spacing w:val="-11"/>
          <w:sz w:val="19"/>
        </w:rPr>
        <w:t> </w:t>
      </w:r>
      <w:r>
        <w:rPr>
          <w:sz w:val="19"/>
        </w:rPr>
        <w:t>total</w:t>
      </w:r>
      <w:r>
        <w:rPr>
          <w:spacing w:val="-12"/>
          <w:sz w:val="19"/>
        </w:rPr>
        <w:t> </w:t>
      </w:r>
      <w:r>
        <w:rPr>
          <w:sz w:val="19"/>
        </w:rPr>
        <w:t>headcount at UC Davis has grown by 0.1 percent per year since 2020,</w:t>
      </w:r>
      <w:r>
        <w:rPr>
          <w:spacing w:val="-2"/>
          <w:sz w:val="19"/>
        </w:rPr>
        <w:t> </w:t>
      </w:r>
      <w:r>
        <w:rPr>
          <w:sz w:val="19"/>
        </w:rPr>
        <w:t>which is below the average annual growth between 2010 and 2020, of 2.1 percent per year.</w:t>
      </w:r>
    </w:p>
    <w:p>
      <w:pPr>
        <w:spacing w:line="333" w:lineRule="auto" w:before="0"/>
        <w:ind w:left="287" w:right="0" w:firstLine="0"/>
        <w:jc w:val="left"/>
        <w:rPr>
          <w:sz w:val="19"/>
        </w:rPr>
      </w:pPr>
      <w:bookmarkStart w:name="_bookmark4" w:id="14"/>
      <w:bookmarkEnd w:id="14"/>
      <w:r>
        <w:rPr/>
      </w:r>
      <w:r>
        <w:rPr>
          <w:position w:val="5"/>
          <w:sz w:val="12"/>
        </w:rPr>
        <w:t>5</w:t>
      </w:r>
      <w:r>
        <w:rPr>
          <w:spacing w:val="9"/>
          <w:position w:val="5"/>
          <w:sz w:val="12"/>
        </w:rPr>
        <w:t> </w:t>
      </w:r>
      <w:r>
        <w:rPr>
          <w:sz w:val="19"/>
        </w:rPr>
        <w:t>Calculated</w:t>
      </w:r>
      <w:r>
        <w:rPr>
          <w:spacing w:val="-8"/>
          <w:sz w:val="19"/>
        </w:rPr>
        <w:t> </w:t>
      </w:r>
      <w:r>
        <w:rPr>
          <w:sz w:val="19"/>
        </w:rPr>
        <w:t>by</w:t>
      </w:r>
      <w:r>
        <w:rPr>
          <w:spacing w:val="-10"/>
          <w:sz w:val="19"/>
        </w:rPr>
        <w:t> </w:t>
      </w:r>
      <w:r>
        <w:rPr>
          <w:sz w:val="19"/>
        </w:rPr>
        <w:t>applying</w:t>
      </w:r>
      <w:r>
        <w:rPr>
          <w:spacing w:val="-8"/>
          <w:sz w:val="19"/>
        </w:rPr>
        <w:t> </w:t>
      </w:r>
      <w:r>
        <w:rPr>
          <w:sz w:val="19"/>
        </w:rPr>
        <w:t>the</w:t>
      </w:r>
      <w:r>
        <w:rPr>
          <w:spacing w:val="-8"/>
          <w:sz w:val="19"/>
        </w:rPr>
        <w:t> </w:t>
      </w:r>
      <w:r>
        <w:rPr>
          <w:sz w:val="19"/>
        </w:rPr>
        <w:t>bed</w:t>
      </w:r>
      <w:r>
        <w:rPr>
          <w:spacing w:val="-8"/>
          <w:sz w:val="19"/>
        </w:rPr>
        <w:t> </w:t>
      </w:r>
      <w:r>
        <w:rPr>
          <w:sz w:val="19"/>
        </w:rPr>
        <w:t>lease</w:t>
      </w:r>
      <w:r>
        <w:rPr>
          <w:spacing w:val="-8"/>
          <w:sz w:val="19"/>
        </w:rPr>
        <w:t> </w:t>
      </w:r>
      <w:r>
        <w:rPr>
          <w:sz w:val="19"/>
        </w:rPr>
        <w:t>vacancy</w:t>
      </w:r>
      <w:r>
        <w:rPr>
          <w:spacing w:val="-8"/>
          <w:sz w:val="19"/>
        </w:rPr>
        <w:t> </w:t>
      </w:r>
      <w:r>
        <w:rPr>
          <w:sz w:val="19"/>
        </w:rPr>
        <w:t>rate</w:t>
      </w:r>
      <w:r>
        <w:rPr>
          <w:spacing w:val="-8"/>
          <w:sz w:val="19"/>
        </w:rPr>
        <w:t> </w:t>
      </w:r>
      <w:r>
        <w:rPr>
          <w:sz w:val="19"/>
        </w:rPr>
        <w:t>per</w:t>
      </w:r>
      <w:r>
        <w:rPr>
          <w:spacing w:val="-8"/>
          <w:sz w:val="19"/>
        </w:rPr>
        <w:t> </w:t>
      </w:r>
      <w:r>
        <w:rPr>
          <w:sz w:val="19"/>
        </w:rPr>
        <w:t>bed</w:t>
      </w:r>
      <w:r>
        <w:rPr>
          <w:spacing w:val="-8"/>
          <w:sz w:val="19"/>
        </w:rPr>
        <w:t> </w:t>
      </w:r>
      <w:r>
        <w:rPr>
          <w:sz w:val="19"/>
        </w:rPr>
        <w:t>to</w:t>
      </w:r>
      <w:r>
        <w:rPr>
          <w:spacing w:val="-8"/>
          <w:sz w:val="19"/>
        </w:rPr>
        <w:t> </w:t>
      </w:r>
      <w:r>
        <w:rPr>
          <w:sz w:val="19"/>
        </w:rPr>
        <w:t>the</w:t>
      </w:r>
      <w:r>
        <w:rPr>
          <w:spacing w:val="-8"/>
          <w:sz w:val="19"/>
        </w:rPr>
        <w:t> </w:t>
      </w:r>
      <w:r>
        <w:rPr>
          <w:sz w:val="19"/>
        </w:rPr>
        <w:t>number</w:t>
      </w:r>
      <w:r>
        <w:rPr>
          <w:spacing w:val="-8"/>
          <w:sz w:val="19"/>
        </w:rPr>
        <w:t> </w:t>
      </w:r>
      <w:r>
        <w:rPr>
          <w:sz w:val="19"/>
        </w:rPr>
        <w:t>of</w:t>
      </w:r>
      <w:r>
        <w:rPr>
          <w:spacing w:val="-8"/>
          <w:sz w:val="19"/>
        </w:rPr>
        <w:t> </w:t>
      </w:r>
      <w:r>
        <w:rPr>
          <w:sz w:val="19"/>
        </w:rPr>
        <w:t>bed-leased</w:t>
      </w:r>
      <w:r>
        <w:rPr>
          <w:spacing w:val="-8"/>
          <w:sz w:val="19"/>
        </w:rPr>
        <w:t> </w:t>
      </w:r>
      <w:r>
        <w:rPr>
          <w:sz w:val="19"/>
        </w:rPr>
        <w:t>units</w:t>
      </w:r>
      <w:r>
        <w:rPr>
          <w:spacing w:val="-8"/>
          <w:sz w:val="19"/>
        </w:rPr>
        <w:t> </w:t>
      </w:r>
      <w:r>
        <w:rPr>
          <w:sz w:val="19"/>
        </w:rPr>
        <w:t>resulting</w:t>
      </w:r>
      <w:r>
        <w:rPr>
          <w:spacing w:val="-8"/>
          <w:sz w:val="19"/>
        </w:rPr>
        <w:t> </w:t>
      </w:r>
      <w:r>
        <w:rPr>
          <w:sz w:val="19"/>
        </w:rPr>
        <w:t>in</w:t>
      </w:r>
      <w:r>
        <w:rPr>
          <w:spacing w:val="-8"/>
          <w:sz w:val="19"/>
        </w:rPr>
        <w:t> </w:t>
      </w:r>
      <w:r>
        <w:rPr>
          <w:sz w:val="19"/>
        </w:rPr>
        <w:t>a “vacant unit equivalent,” which was then added to the number of vacant unit-leased apartments.</w:t>
      </w:r>
    </w:p>
    <w:p>
      <w:pPr>
        <w:spacing w:after="0" w:line="333" w:lineRule="auto"/>
        <w:jc w:val="left"/>
        <w:rPr>
          <w:sz w:val="19"/>
        </w:rPr>
        <w:sectPr>
          <w:pgSz w:w="12240" w:h="15840"/>
          <w:pgMar w:header="0" w:footer="794" w:top="1700" w:bottom="980" w:left="1440" w:right="1440"/>
        </w:sectPr>
      </w:pPr>
    </w:p>
    <w:p>
      <w:pPr>
        <w:spacing w:before="78"/>
        <w:ind w:left="288" w:right="0" w:firstLine="0"/>
        <w:jc w:val="left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1078230</wp:posOffset>
                </wp:positionH>
                <wp:positionV relativeFrom="paragraph">
                  <wp:posOffset>220459</wp:posOffset>
                </wp:positionV>
                <wp:extent cx="5616575" cy="635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56165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6575" h="6350">
                              <a:moveTo>
                                <a:pt x="5615952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615952" y="6108"/>
                              </a:lnTo>
                              <a:lnTo>
                                <a:pt x="5615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900002pt;margin-top:17.358999pt;width:442.201pt;height:.481pt;mso-position-horizontal-relative:page;mso-position-vertical-relative:paragraph;z-index:-15724032;mso-wrap-distance-left:0;mso-wrap-distance-right:0" id="docshape52" filled="true" fillcolor="#000000" stroked="false">
                <v:fill type="solid"/>
                <w10:wrap type="topAndBottom"/>
              </v:rect>
            </w:pict>
          </mc:Fallback>
        </mc:AlternateContent>
      </w:r>
      <w:bookmarkStart w:name="Table 3:  Blended Vacancy Rate Summary" w:id="15"/>
      <w:bookmarkEnd w:id="15"/>
      <w:r>
        <w:rPr/>
      </w:r>
      <w:r>
        <w:rPr>
          <w:i/>
          <w:sz w:val="22"/>
        </w:rPr>
        <w:t>Table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3: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Blended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Vacancy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Rate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Summary</w:t>
      </w:r>
    </w:p>
    <w:p>
      <w:pPr>
        <w:spacing w:before="144" w:after="23"/>
        <w:ind w:left="2755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w w:val="105"/>
          <w:sz w:val="14"/>
        </w:rPr>
        <w:t>2025</w:t>
      </w:r>
      <w:r>
        <w:rPr>
          <w:rFonts w:ascii="Arial"/>
          <w:b/>
          <w:spacing w:val="-4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Vacancy</w:t>
      </w:r>
      <w:r>
        <w:rPr>
          <w:rFonts w:ascii="Arial"/>
          <w:b/>
          <w:spacing w:val="-10"/>
          <w:w w:val="105"/>
          <w:sz w:val="14"/>
        </w:rPr>
        <w:t> </w:t>
      </w:r>
      <w:r>
        <w:rPr>
          <w:rFonts w:ascii="Arial"/>
          <w:b/>
          <w:spacing w:val="-4"/>
          <w:w w:val="105"/>
          <w:sz w:val="14"/>
        </w:rPr>
        <w:t>Rate</w:t>
      </w:r>
    </w:p>
    <w:tbl>
      <w:tblPr>
        <w:tblW w:w="0" w:type="auto"/>
        <w:jc w:val="left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5"/>
        <w:gridCol w:w="177"/>
        <w:gridCol w:w="805"/>
        <w:gridCol w:w="177"/>
        <w:gridCol w:w="805"/>
        <w:gridCol w:w="177"/>
        <w:gridCol w:w="938"/>
        <w:gridCol w:w="177"/>
        <w:gridCol w:w="1442"/>
        <w:gridCol w:w="177"/>
        <w:gridCol w:w="1501"/>
        <w:gridCol w:w="944"/>
      </w:tblGrid>
      <w:tr>
        <w:trPr>
          <w:trHeight w:val="375" w:hRule="atLeast"/>
        </w:trPr>
        <w:tc>
          <w:tcPr>
            <w:tcW w:w="15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Unit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>Size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15" w:right="1"/>
              <w:jc w:val="center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Unit</w:t>
            </w:r>
          </w:p>
          <w:p>
            <w:pPr>
              <w:pStyle w:val="TableParagraph"/>
              <w:spacing w:line="154" w:lineRule="exact" w:before="36"/>
              <w:ind w:left="15" w:right="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Lease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spacing w:val="-5"/>
                <w:w w:val="105"/>
                <w:sz w:val="14"/>
              </w:rPr>
              <w:t>(a)</w:t>
            </w:r>
          </w:p>
        </w:tc>
        <w:tc>
          <w:tcPr>
            <w:tcW w:w="17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15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Bed</w:t>
            </w:r>
          </w:p>
          <w:p>
            <w:pPr>
              <w:pStyle w:val="TableParagraph"/>
              <w:spacing w:line="154" w:lineRule="exact" w:before="36"/>
              <w:ind w:left="15" w:right="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Lease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spacing w:val="-5"/>
                <w:w w:val="105"/>
                <w:sz w:val="14"/>
              </w:rPr>
              <w:t>(b)</w:t>
            </w:r>
          </w:p>
        </w:tc>
        <w:tc>
          <w:tcPr>
            <w:tcW w:w="17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right="8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Blended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spacing w:val="-5"/>
                <w:w w:val="105"/>
                <w:sz w:val="14"/>
              </w:rPr>
              <w:t>(c)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13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2024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>Blended</w:t>
            </w:r>
          </w:p>
          <w:p>
            <w:pPr>
              <w:pStyle w:val="TableParagraph"/>
              <w:spacing w:line="154" w:lineRule="exact" w:before="36"/>
              <w:ind w:left="1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Vacancy</w:t>
            </w:r>
            <w:r>
              <w:rPr>
                <w:rFonts w:ascii="Arial"/>
                <w:b/>
                <w:spacing w:val="-11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Rate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>(c)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10" w:right="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2023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>Blended</w:t>
            </w:r>
          </w:p>
          <w:p>
            <w:pPr>
              <w:pStyle w:val="TableParagraph"/>
              <w:spacing w:line="154" w:lineRule="exact" w:before="36"/>
              <w:ind w:left="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Vacancy</w:t>
            </w:r>
            <w:r>
              <w:rPr>
                <w:rFonts w:ascii="Arial"/>
                <w:b/>
                <w:spacing w:val="-11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Rate</w:t>
            </w:r>
            <w:r>
              <w:rPr>
                <w:rFonts w:ascii="Arial"/>
                <w:b/>
                <w:spacing w:val="-3"/>
                <w:w w:val="105"/>
                <w:sz w:val="14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>(c)</w:t>
            </w:r>
          </w:p>
        </w:tc>
        <w:tc>
          <w:tcPr>
            <w:tcW w:w="9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82" w:hRule="atLeast"/>
        </w:trPr>
        <w:tc>
          <w:tcPr>
            <w:tcW w:w="15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9" w:lineRule="exact" w:before="3"/>
              <w:ind w:left="50"/>
              <w:rPr>
                <w:sz w:val="14"/>
              </w:rPr>
            </w:pPr>
            <w:r>
              <w:rPr>
                <w:w w:val="105"/>
                <w:sz w:val="14"/>
              </w:rPr>
              <w:t>Studio</w:t>
            </w:r>
            <w:r>
              <w:rPr>
                <w:spacing w:val="-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&amp; 1 </w:t>
            </w:r>
            <w:r>
              <w:rPr>
                <w:spacing w:val="-2"/>
                <w:w w:val="105"/>
                <w:sz w:val="14"/>
              </w:rPr>
              <w:t>Bedroom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9" w:lineRule="exact" w:before="3"/>
              <w:ind w:right="32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1.3%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9" w:lineRule="exact" w:before="3"/>
              <w:ind w:right="33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5.8%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9" w:lineRule="exact" w:before="3"/>
              <w:ind w:right="33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2.5%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9" w:lineRule="exact" w:before="3"/>
              <w:ind w:right="34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3.4%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9" w:lineRule="exact" w:before="3"/>
              <w:ind w:right="34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1.6%</w:t>
            </w:r>
          </w:p>
        </w:tc>
        <w:tc>
          <w:tcPr>
            <w:tcW w:w="9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7" w:hRule="atLeast"/>
        </w:trPr>
        <w:tc>
          <w:tcPr>
            <w:tcW w:w="1505" w:type="dxa"/>
          </w:tcPr>
          <w:p>
            <w:pPr>
              <w:pStyle w:val="TableParagraph"/>
              <w:spacing w:line="159" w:lineRule="exact" w:before="18"/>
              <w:ind w:left="50"/>
              <w:rPr>
                <w:sz w:val="14"/>
              </w:rPr>
            </w:pPr>
            <w:r>
              <w:rPr>
                <w:w w:val="105"/>
                <w:sz w:val="14"/>
              </w:rPr>
              <w:t>2 </w:t>
            </w:r>
            <w:r>
              <w:rPr>
                <w:spacing w:val="-2"/>
                <w:w w:val="105"/>
                <w:sz w:val="14"/>
              </w:rPr>
              <w:t>Bedroom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159" w:lineRule="exact" w:before="18"/>
              <w:ind w:right="32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2.9%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159" w:lineRule="exact" w:before="18"/>
              <w:ind w:right="33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7.3%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spacing w:line="159" w:lineRule="exact" w:before="18"/>
              <w:ind w:right="33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4.1%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spacing w:line="159" w:lineRule="exact" w:before="18"/>
              <w:ind w:right="34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4.3%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spacing w:line="159" w:lineRule="exact" w:before="18"/>
              <w:ind w:right="34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3.1%</w:t>
            </w:r>
          </w:p>
        </w:tc>
        <w:tc>
          <w:tcPr>
            <w:tcW w:w="9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7" w:hRule="atLeast"/>
        </w:trPr>
        <w:tc>
          <w:tcPr>
            <w:tcW w:w="1505" w:type="dxa"/>
          </w:tcPr>
          <w:p>
            <w:pPr>
              <w:pStyle w:val="TableParagraph"/>
              <w:spacing w:line="159" w:lineRule="exact" w:before="18"/>
              <w:ind w:left="50"/>
              <w:rPr>
                <w:sz w:val="14"/>
              </w:rPr>
            </w:pPr>
            <w:r>
              <w:rPr>
                <w:w w:val="105"/>
                <w:sz w:val="14"/>
              </w:rPr>
              <w:t>3 </w:t>
            </w:r>
            <w:r>
              <w:rPr>
                <w:spacing w:val="-2"/>
                <w:w w:val="105"/>
                <w:sz w:val="14"/>
              </w:rPr>
              <w:t>Bedroom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159" w:lineRule="exact" w:before="18"/>
              <w:ind w:right="33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5.6%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line="159" w:lineRule="exact" w:before="18"/>
              <w:ind w:right="33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6.0%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spacing w:line="159" w:lineRule="exact" w:before="18"/>
              <w:ind w:right="33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5.7%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spacing w:line="159" w:lineRule="exact" w:before="18"/>
              <w:ind w:right="34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5.5%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spacing w:line="159" w:lineRule="exact" w:before="18"/>
              <w:ind w:right="34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4.2%</w:t>
            </w:r>
          </w:p>
        </w:tc>
        <w:tc>
          <w:tcPr>
            <w:tcW w:w="9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5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4" w:lineRule="exact" w:before="18"/>
              <w:ind w:left="49"/>
              <w:rPr>
                <w:sz w:val="14"/>
              </w:rPr>
            </w:pPr>
            <w:r>
              <w:rPr>
                <w:w w:val="105"/>
                <w:sz w:val="14"/>
              </w:rPr>
              <w:t>4+</w:t>
            </w:r>
            <w:r>
              <w:rPr>
                <w:spacing w:val="-1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Bedroom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4" w:lineRule="exact" w:before="18"/>
              <w:ind w:right="33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3.1%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4" w:lineRule="exact" w:before="18"/>
              <w:ind w:right="33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2.2%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4" w:lineRule="exact" w:before="18"/>
              <w:ind w:right="34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2.1%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4" w:lineRule="exact" w:before="18"/>
              <w:ind w:right="34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3.1%</w:t>
            </w:r>
          </w:p>
        </w:tc>
        <w:tc>
          <w:tcPr>
            <w:tcW w:w="1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4" w:lineRule="exact" w:before="18"/>
              <w:ind w:right="34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4.4%</w:t>
            </w:r>
          </w:p>
        </w:tc>
        <w:tc>
          <w:tcPr>
            <w:tcW w:w="9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9" w:hRule="atLeast"/>
        </w:trPr>
        <w:tc>
          <w:tcPr>
            <w:tcW w:w="1505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left="4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Total,</w:t>
            </w:r>
            <w:r>
              <w:rPr>
                <w:rFonts w:ascii="Arial"/>
                <w:b/>
                <w:spacing w:val="-5"/>
                <w:w w:val="105"/>
                <w:sz w:val="14"/>
              </w:rPr>
              <w:t> </w:t>
            </w:r>
            <w:r>
              <w:rPr>
                <w:rFonts w:ascii="Arial"/>
                <w:b/>
                <w:w w:val="105"/>
                <w:sz w:val="14"/>
              </w:rPr>
              <w:t>All</w:t>
            </w:r>
            <w:r>
              <w:rPr>
                <w:rFonts w:ascii="Arial"/>
                <w:b/>
                <w:spacing w:val="-4"/>
                <w:w w:val="105"/>
                <w:sz w:val="14"/>
              </w:rPr>
              <w:t> Sizes</w:t>
            </w:r>
          </w:p>
        </w:tc>
        <w:tc>
          <w:tcPr>
            <w:tcW w:w="17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right="3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w w:val="105"/>
                <w:sz w:val="14"/>
              </w:rPr>
              <w:t>2.6%</w:t>
            </w:r>
          </w:p>
        </w:tc>
        <w:tc>
          <w:tcPr>
            <w:tcW w:w="17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right="31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w w:val="105"/>
                <w:sz w:val="14"/>
              </w:rPr>
              <w:t>4.5%</w:t>
            </w:r>
          </w:p>
        </w:tc>
        <w:tc>
          <w:tcPr>
            <w:tcW w:w="17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right="3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w w:val="105"/>
                <w:sz w:val="14"/>
              </w:rPr>
              <w:t>3.5%</w:t>
            </w:r>
          </w:p>
        </w:tc>
        <w:tc>
          <w:tcPr>
            <w:tcW w:w="17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right="3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w w:val="105"/>
                <w:sz w:val="14"/>
              </w:rPr>
              <w:t>4.0%</w:t>
            </w:r>
          </w:p>
        </w:tc>
        <w:tc>
          <w:tcPr>
            <w:tcW w:w="17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1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ind w:right="3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w w:val="105"/>
                <w:sz w:val="14"/>
              </w:rPr>
              <w:t>3.0%</w:t>
            </w:r>
          </w:p>
        </w:tc>
        <w:tc>
          <w:tcPr>
            <w:tcW w:w="94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184" w:lineRule="exact" w:before="13"/>
        <w:ind w:left="288" w:right="0" w:firstLine="0"/>
        <w:jc w:val="left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Notes:</w:t>
      </w:r>
    </w:p>
    <w:p>
      <w:pPr>
        <w:pStyle w:val="ListParagraph"/>
        <w:numPr>
          <w:ilvl w:val="0"/>
          <w:numId w:val="4"/>
        </w:numPr>
        <w:tabs>
          <w:tab w:pos="569" w:val="left" w:leader="none"/>
        </w:tabs>
        <w:spacing w:line="184" w:lineRule="exact" w:before="0" w:after="0"/>
        <w:ind w:left="569" w:right="0" w:hanging="281"/>
        <w:jc w:val="left"/>
        <w:rPr>
          <w:sz w:val="16"/>
        </w:rPr>
      </w:pPr>
      <w:r>
        <w:rPr>
          <w:sz w:val="16"/>
        </w:rPr>
        <w:t>Based</w:t>
      </w:r>
      <w:r>
        <w:rPr>
          <w:spacing w:val="-5"/>
          <w:sz w:val="16"/>
        </w:rPr>
        <w:t> </w:t>
      </w:r>
      <w:r>
        <w:rPr>
          <w:sz w:val="16"/>
        </w:rPr>
        <w:t>on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number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units,</w:t>
      </w:r>
      <w:r>
        <w:rPr>
          <w:spacing w:val="-4"/>
          <w:sz w:val="16"/>
        </w:rPr>
        <w:t> </w:t>
      </w:r>
      <w:r>
        <w:rPr>
          <w:sz w:val="16"/>
        </w:rPr>
        <w:t>by</w:t>
      </w:r>
      <w:r>
        <w:rPr>
          <w:spacing w:val="-4"/>
          <w:sz w:val="16"/>
        </w:rPr>
        <w:t> </w:t>
      </w:r>
      <w:r>
        <w:rPr>
          <w:sz w:val="16"/>
        </w:rPr>
        <w:t>unit</w:t>
      </w:r>
      <w:r>
        <w:rPr>
          <w:spacing w:val="-5"/>
          <w:sz w:val="16"/>
        </w:rPr>
        <w:t> </w:t>
      </w:r>
      <w:r>
        <w:rPr>
          <w:sz w:val="16"/>
        </w:rPr>
        <w:t>type,</w:t>
      </w:r>
      <w:r>
        <w:rPr>
          <w:spacing w:val="-5"/>
          <w:sz w:val="16"/>
        </w:rPr>
        <w:t> </w:t>
      </w:r>
      <w:r>
        <w:rPr>
          <w:sz w:val="16"/>
        </w:rPr>
        <w:t>reported</w:t>
      </w:r>
      <w:r>
        <w:rPr>
          <w:spacing w:val="-5"/>
          <w:sz w:val="16"/>
        </w:rPr>
        <w:t> </w:t>
      </w:r>
      <w:r>
        <w:rPr>
          <w:sz w:val="16"/>
        </w:rPr>
        <w:t>as</w:t>
      </w:r>
      <w:r>
        <w:rPr>
          <w:spacing w:val="-4"/>
          <w:sz w:val="16"/>
        </w:rPr>
        <w:t> </w:t>
      </w:r>
      <w:r>
        <w:rPr>
          <w:sz w:val="16"/>
        </w:rPr>
        <w:t>rented</w:t>
      </w:r>
      <w:r>
        <w:rPr>
          <w:spacing w:val="-5"/>
          <w:sz w:val="16"/>
        </w:rPr>
        <w:t> </w:t>
      </w:r>
      <w:r>
        <w:rPr>
          <w:sz w:val="16"/>
        </w:rPr>
        <w:t>on</w:t>
      </w:r>
      <w:r>
        <w:rPr>
          <w:spacing w:val="-5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per</w:t>
      </w:r>
      <w:r>
        <w:rPr>
          <w:spacing w:val="-5"/>
          <w:sz w:val="16"/>
        </w:rPr>
        <w:t> </w:t>
      </w:r>
      <w:r>
        <w:rPr>
          <w:sz w:val="16"/>
        </w:rPr>
        <w:t>unit</w:t>
      </w:r>
      <w:r>
        <w:rPr>
          <w:spacing w:val="-5"/>
          <w:sz w:val="16"/>
        </w:rPr>
        <w:t> </w:t>
      </w:r>
      <w:r>
        <w:rPr>
          <w:sz w:val="16"/>
        </w:rPr>
        <w:t>basis</w:t>
      </w:r>
      <w:r>
        <w:rPr>
          <w:spacing w:val="-4"/>
          <w:sz w:val="16"/>
        </w:rPr>
        <w:t> </w:t>
      </w:r>
      <w:r>
        <w:rPr>
          <w:sz w:val="16"/>
        </w:rPr>
        <w:t>(i.e.,</w:t>
      </w:r>
      <w:r>
        <w:rPr>
          <w:spacing w:val="-5"/>
          <w:sz w:val="16"/>
        </w:rPr>
        <w:t> </w:t>
      </w:r>
      <w:r>
        <w:rPr>
          <w:sz w:val="16"/>
        </w:rPr>
        <w:t>unit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lease).</w:t>
      </w:r>
    </w:p>
    <w:p>
      <w:pPr>
        <w:pStyle w:val="ListParagraph"/>
        <w:numPr>
          <w:ilvl w:val="0"/>
          <w:numId w:val="4"/>
        </w:numPr>
        <w:tabs>
          <w:tab w:pos="568" w:val="left" w:leader="none"/>
        </w:tabs>
        <w:spacing w:line="184" w:lineRule="exact" w:before="0" w:after="0"/>
        <w:ind w:left="568" w:right="0" w:hanging="281"/>
        <w:jc w:val="left"/>
        <w:rPr>
          <w:sz w:val="16"/>
        </w:rPr>
      </w:pPr>
      <w:r>
        <w:rPr>
          <w:sz w:val="16"/>
        </w:rPr>
        <w:t>Based</w:t>
      </w:r>
      <w:r>
        <w:rPr>
          <w:spacing w:val="-5"/>
          <w:sz w:val="16"/>
        </w:rPr>
        <w:t> </w:t>
      </w:r>
      <w:r>
        <w:rPr>
          <w:sz w:val="16"/>
        </w:rPr>
        <w:t>on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number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units,</w:t>
      </w:r>
      <w:r>
        <w:rPr>
          <w:spacing w:val="-5"/>
          <w:sz w:val="16"/>
        </w:rPr>
        <w:t> </w:t>
      </w:r>
      <w:r>
        <w:rPr>
          <w:sz w:val="16"/>
        </w:rPr>
        <w:t>by</w:t>
      </w:r>
      <w:r>
        <w:rPr>
          <w:spacing w:val="-4"/>
          <w:sz w:val="16"/>
        </w:rPr>
        <w:t> </w:t>
      </w:r>
      <w:r>
        <w:rPr>
          <w:sz w:val="16"/>
        </w:rPr>
        <w:t>unit</w:t>
      </w:r>
      <w:r>
        <w:rPr>
          <w:spacing w:val="-5"/>
          <w:sz w:val="16"/>
        </w:rPr>
        <w:t> </w:t>
      </w:r>
      <w:r>
        <w:rPr>
          <w:sz w:val="16"/>
        </w:rPr>
        <w:t>type,</w:t>
      </w:r>
      <w:r>
        <w:rPr>
          <w:spacing w:val="-4"/>
          <w:sz w:val="16"/>
        </w:rPr>
        <w:t> </w:t>
      </w:r>
      <w:r>
        <w:rPr>
          <w:sz w:val="16"/>
        </w:rPr>
        <w:t>reported</w:t>
      </w:r>
      <w:r>
        <w:rPr>
          <w:spacing w:val="-5"/>
          <w:sz w:val="16"/>
        </w:rPr>
        <w:t> </w:t>
      </w:r>
      <w:r>
        <w:rPr>
          <w:sz w:val="16"/>
        </w:rPr>
        <w:t>as</w:t>
      </w:r>
      <w:r>
        <w:rPr>
          <w:spacing w:val="-4"/>
          <w:sz w:val="16"/>
        </w:rPr>
        <w:t> </w:t>
      </w:r>
      <w:r>
        <w:rPr>
          <w:sz w:val="16"/>
        </w:rPr>
        <w:t>rented</w:t>
      </w:r>
      <w:r>
        <w:rPr>
          <w:spacing w:val="-5"/>
          <w:sz w:val="16"/>
        </w:rPr>
        <w:t> </w:t>
      </w:r>
      <w:r>
        <w:rPr>
          <w:sz w:val="16"/>
        </w:rPr>
        <w:t>on</w:t>
      </w:r>
      <w:r>
        <w:rPr>
          <w:spacing w:val="-5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per</w:t>
      </w:r>
      <w:r>
        <w:rPr>
          <w:spacing w:val="-4"/>
          <w:sz w:val="16"/>
        </w:rPr>
        <w:t> </w:t>
      </w:r>
      <w:r>
        <w:rPr>
          <w:sz w:val="16"/>
        </w:rPr>
        <w:t>bed</w:t>
      </w:r>
      <w:r>
        <w:rPr>
          <w:spacing w:val="-5"/>
          <w:sz w:val="16"/>
        </w:rPr>
        <w:t> </w:t>
      </w:r>
      <w:r>
        <w:rPr>
          <w:sz w:val="16"/>
        </w:rPr>
        <w:t>basis</w:t>
      </w:r>
      <w:r>
        <w:rPr>
          <w:spacing w:val="-4"/>
          <w:sz w:val="16"/>
        </w:rPr>
        <w:t> </w:t>
      </w:r>
      <w:r>
        <w:rPr>
          <w:sz w:val="16"/>
        </w:rPr>
        <w:t>(i.e.,</w:t>
      </w:r>
      <w:r>
        <w:rPr>
          <w:spacing w:val="-5"/>
          <w:sz w:val="16"/>
        </w:rPr>
        <w:t> </w:t>
      </w:r>
      <w:r>
        <w:rPr>
          <w:sz w:val="16"/>
        </w:rPr>
        <w:t>bed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lease).</w:t>
      </w:r>
    </w:p>
    <w:p>
      <w:pPr>
        <w:pStyle w:val="ListParagraph"/>
        <w:numPr>
          <w:ilvl w:val="0"/>
          <w:numId w:val="4"/>
        </w:numPr>
        <w:tabs>
          <w:tab w:pos="560" w:val="left" w:leader="none"/>
        </w:tabs>
        <w:spacing w:line="240" w:lineRule="auto" w:before="1" w:after="0"/>
        <w:ind w:left="287" w:right="643" w:firstLine="0"/>
        <w:jc w:val="left"/>
        <w:rPr>
          <w:sz w:val="16"/>
        </w:rPr>
      </w:pPr>
      <w:r>
        <w:rPr>
          <w:sz w:val="16"/>
        </w:rPr>
        <w:t>Based</w:t>
      </w:r>
      <w:r>
        <w:rPr>
          <w:spacing w:val="-3"/>
          <w:sz w:val="16"/>
        </w:rPr>
        <w:t> </w:t>
      </w:r>
      <w:r>
        <w:rPr>
          <w:sz w:val="16"/>
        </w:rPr>
        <w:t>on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number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units,</w:t>
      </w:r>
      <w:r>
        <w:rPr>
          <w:spacing w:val="-3"/>
          <w:sz w:val="16"/>
        </w:rPr>
        <w:t> </w:t>
      </w:r>
      <w:r>
        <w:rPr>
          <w:sz w:val="16"/>
        </w:rPr>
        <w:t>by</w:t>
      </w:r>
      <w:r>
        <w:rPr>
          <w:spacing w:val="-2"/>
          <w:sz w:val="16"/>
        </w:rPr>
        <w:t> </w:t>
      </w:r>
      <w:r>
        <w:rPr>
          <w:sz w:val="16"/>
        </w:rPr>
        <w:t>unit</w:t>
      </w:r>
      <w:r>
        <w:rPr>
          <w:spacing w:val="-3"/>
          <w:sz w:val="16"/>
        </w:rPr>
        <w:t> </w:t>
      </w:r>
      <w:r>
        <w:rPr>
          <w:sz w:val="16"/>
        </w:rPr>
        <w:t>type,</w:t>
      </w:r>
      <w:r>
        <w:rPr>
          <w:spacing w:val="-3"/>
          <w:sz w:val="16"/>
        </w:rPr>
        <w:t> </w:t>
      </w:r>
      <w:r>
        <w:rPr>
          <w:sz w:val="16"/>
        </w:rPr>
        <w:t>reported</w:t>
      </w:r>
      <w:r>
        <w:rPr>
          <w:spacing w:val="-3"/>
          <w:sz w:val="16"/>
        </w:rPr>
        <w:t> </w:t>
      </w:r>
      <w:r>
        <w:rPr>
          <w:sz w:val="16"/>
        </w:rPr>
        <w:t>as</w:t>
      </w:r>
      <w:r>
        <w:rPr>
          <w:spacing w:val="-2"/>
          <w:sz w:val="16"/>
        </w:rPr>
        <w:t> </w:t>
      </w:r>
      <w:r>
        <w:rPr>
          <w:sz w:val="16"/>
        </w:rPr>
        <w:t>rented</w:t>
      </w:r>
      <w:r>
        <w:rPr>
          <w:spacing w:val="-3"/>
          <w:sz w:val="16"/>
        </w:rPr>
        <w:t> </w:t>
      </w:r>
      <w:r>
        <w:rPr>
          <w:sz w:val="16"/>
        </w:rPr>
        <w:t>on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per</w:t>
      </w:r>
      <w:r>
        <w:rPr>
          <w:spacing w:val="-3"/>
          <w:sz w:val="16"/>
        </w:rPr>
        <w:t> </w:t>
      </w:r>
      <w:r>
        <w:rPr>
          <w:sz w:val="16"/>
        </w:rPr>
        <w:t>unit</w:t>
      </w:r>
      <w:r>
        <w:rPr>
          <w:spacing w:val="-3"/>
          <w:sz w:val="16"/>
        </w:rPr>
        <w:t> </w:t>
      </w:r>
      <w:r>
        <w:rPr>
          <w:sz w:val="16"/>
        </w:rPr>
        <w:t>basis</w:t>
      </w:r>
      <w:r>
        <w:rPr>
          <w:spacing w:val="-2"/>
          <w:sz w:val="16"/>
        </w:rPr>
        <w:t> </w:t>
      </w:r>
      <w:r>
        <w:rPr>
          <w:sz w:val="16"/>
        </w:rPr>
        <w:t>(i.e.,</w:t>
      </w:r>
      <w:r>
        <w:rPr>
          <w:spacing w:val="-3"/>
          <w:sz w:val="16"/>
        </w:rPr>
        <w:t> </w:t>
      </w:r>
      <w:r>
        <w:rPr>
          <w:sz w:val="16"/>
        </w:rPr>
        <w:t>unit</w:t>
      </w:r>
      <w:r>
        <w:rPr>
          <w:spacing w:val="-3"/>
          <w:sz w:val="16"/>
        </w:rPr>
        <w:t> </w:t>
      </w:r>
      <w:r>
        <w:rPr>
          <w:sz w:val="16"/>
        </w:rPr>
        <w:t>lease),</w:t>
      </w:r>
      <w:r>
        <w:rPr>
          <w:spacing w:val="-1"/>
          <w:sz w:val="16"/>
        </w:rPr>
        <w:t> </w:t>
      </w:r>
      <w:r>
        <w:rPr>
          <w:sz w:val="16"/>
        </w:rPr>
        <w:t>with</w:t>
      </w:r>
      <w:r>
        <w:rPr>
          <w:spacing w:val="-3"/>
          <w:sz w:val="16"/>
        </w:rPr>
        <w:t> </w:t>
      </w:r>
      <w:r>
        <w:rPr>
          <w:sz w:val="16"/>
        </w:rPr>
        <w:t>vacant</w:t>
      </w:r>
      <w:r>
        <w:rPr>
          <w:spacing w:val="-3"/>
          <w:sz w:val="16"/>
        </w:rPr>
        <w:t> </w:t>
      </w:r>
      <w:r>
        <w:rPr>
          <w:sz w:val="16"/>
        </w:rPr>
        <w:t>units leased on a per bed basis converted to "vacant unit equivalents."</w:t>
      </w:r>
    </w:p>
    <w:p>
      <w:pPr>
        <w:pStyle w:val="BodyText"/>
        <w:rPr>
          <w:rFonts w:ascii="Arial MT"/>
          <w:sz w:val="16"/>
        </w:rPr>
      </w:pPr>
    </w:p>
    <w:p>
      <w:pPr>
        <w:spacing w:before="0"/>
        <w:ind w:left="287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Source:</w:t>
      </w:r>
      <w:r>
        <w:rPr>
          <w:rFonts w:ascii="Arial MT"/>
          <w:spacing w:val="36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5"/>
          <w:sz w:val="16"/>
        </w:rPr>
        <w:t> </w:t>
      </w:r>
      <w:r>
        <w:rPr>
          <w:rFonts w:ascii="Arial MT"/>
          <w:spacing w:val="-4"/>
          <w:sz w:val="16"/>
        </w:rPr>
        <w:t>2025.</w:t>
      </w:r>
    </w:p>
    <w:p>
      <w:pPr>
        <w:pStyle w:val="BodyText"/>
        <w:spacing w:before="157"/>
        <w:rPr>
          <w:rFonts w:ascii="Arial MT"/>
          <w:sz w:val="16"/>
        </w:rPr>
      </w:pPr>
    </w:p>
    <w:p>
      <w:pPr>
        <w:pStyle w:val="Heading1"/>
      </w:pPr>
      <w:bookmarkStart w:name="Rental Rates" w:id="16"/>
      <w:bookmarkEnd w:id="16"/>
      <w:r>
        <w:rPr>
          <w:i w:val="0"/>
        </w:rPr>
      </w:r>
      <w:r>
        <w:rPr/>
        <w:t>Rental</w:t>
      </w:r>
      <w:r>
        <w:rPr>
          <w:spacing w:val="29"/>
        </w:rPr>
        <w:t> </w:t>
      </w:r>
      <w:r>
        <w:rPr>
          <w:spacing w:val="-2"/>
        </w:rPr>
        <w:t>Rates</w:t>
      </w:r>
    </w:p>
    <w:p>
      <w:pPr>
        <w:pStyle w:val="BodyText"/>
        <w:spacing w:line="288" w:lineRule="auto" w:before="48"/>
        <w:ind w:left="287" w:right="303"/>
      </w:pPr>
      <w:r>
        <w:rPr/>
        <w:t>The 2025 survey results indicate that overall rental rates decreased for the first time since</w:t>
      </w:r>
      <w:r>
        <w:rPr/>
        <w:t> BAE</w:t>
      </w:r>
      <w:r>
        <w:rPr>
          <w:spacing w:val="-1"/>
        </w:rPr>
        <w:t> </w:t>
      </w:r>
      <w:r>
        <w:rPr/>
        <w:t>began</w:t>
      </w:r>
      <w:r>
        <w:rPr>
          <w:spacing w:val="-1"/>
        </w:rPr>
        <w:t> </w:t>
      </w:r>
      <w:r>
        <w:rPr/>
        <w:t>conducting the</w:t>
      </w:r>
      <w:r>
        <w:rPr>
          <w:spacing w:val="-1"/>
        </w:rPr>
        <w:t> </w:t>
      </w:r>
      <w:r>
        <w:rPr/>
        <w:t>survey in 2013. Following onset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COVID-19 pandemic, the 2021 and 2022 surveys documented significant annual rent increases. The 2024 and 2023 surveys,</w:t>
      </w:r>
      <w:r>
        <w:rPr>
          <w:spacing w:val="-8"/>
        </w:rPr>
        <w:t> </w:t>
      </w:r>
      <w:r>
        <w:rPr/>
        <w:t>by</w:t>
      </w:r>
      <w:r>
        <w:rPr>
          <w:spacing w:val="-8"/>
        </w:rPr>
        <w:t> </w:t>
      </w:r>
      <w:r>
        <w:rPr/>
        <w:t>comparison,</w:t>
      </w:r>
      <w:r>
        <w:rPr>
          <w:spacing w:val="-8"/>
        </w:rPr>
        <w:t> </w:t>
      </w:r>
      <w:r>
        <w:rPr/>
        <w:t>documented</w:t>
      </w:r>
      <w:r>
        <w:rPr>
          <w:spacing w:val="-8"/>
        </w:rPr>
        <w:t> </w:t>
      </w:r>
      <w:r>
        <w:rPr/>
        <w:t>more</w:t>
      </w:r>
      <w:r>
        <w:rPr>
          <w:spacing w:val="-9"/>
        </w:rPr>
        <w:t> </w:t>
      </w:r>
      <w:r>
        <w:rPr/>
        <w:t>modest</w:t>
      </w:r>
      <w:r>
        <w:rPr>
          <w:spacing w:val="-9"/>
        </w:rPr>
        <w:t> </w:t>
      </w:r>
      <w:r>
        <w:rPr/>
        <w:t>year-over-year</w:t>
      </w:r>
      <w:r>
        <w:rPr>
          <w:spacing w:val="-9"/>
        </w:rPr>
        <w:t> </w:t>
      </w:r>
      <w:r>
        <w:rPr/>
        <w:t>rent</w:t>
      </w:r>
      <w:r>
        <w:rPr>
          <w:spacing w:val="-9"/>
        </w:rPr>
        <w:t> </w:t>
      </w:r>
      <w:r>
        <w:rPr/>
        <w:t>growth,</w:t>
      </w:r>
      <w:r>
        <w:rPr>
          <w:spacing w:val="-8"/>
        </w:rPr>
        <w:t> </w:t>
      </w:r>
      <w:r>
        <w:rPr/>
        <w:t>likely</w:t>
      </w:r>
      <w:r>
        <w:rPr>
          <w:spacing w:val="-8"/>
        </w:rPr>
        <w:t> </w:t>
      </w:r>
      <w:r>
        <w:rPr/>
        <w:t>driven</w:t>
      </w:r>
      <w:r>
        <w:rPr>
          <w:spacing w:val="-7"/>
        </w:rPr>
        <w:t> </w:t>
      </w:r>
      <w:r>
        <w:rPr/>
        <w:t>by the increase in new unit production and associated increases in citywide vacancy. The reported</w:t>
      </w:r>
      <w:r>
        <w:rPr>
          <w:spacing w:val="-1"/>
        </w:rPr>
        <w:t> </w:t>
      </w:r>
      <w:r>
        <w:rPr/>
        <w:t>rental</w:t>
      </w:r>
      <w:r>
        <w:rPr>
          <w:spacing w:val="-1"/>
        </w:rPr>
        <w:t> </w:t>
      </w:r>
      <w:r>
        <w:rPr/>
        <w:t>rate</w:t>
      </w:r>
      <w:r>
        <w:rPr>
          <w:spacing w:val="-2"/>
        </w:rPr>
        <w:t> </w:t>
      </w:r>
      <w:r>
        <w:rPr/>
        <w:t>decrease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 2025</w:t>
      </w:r>
      <w:r>
        <w:rPr>
          <w:spacing w:val="-2"/>
        </w:rPr>
        <w:t> </w:t>
      </w:r>
      <w:r>
        <w:rPr/>
        <w:t>survey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further</w:t>
      </w:r>
      <w:r>
        <w:rPr>
          <w:spacing w:val="-2"/>
        </w:rPr>
        <w:t> </w:t>
      </w:r>
      <w:r>
        <w:rPr/>
        <w:t>reflect the</w:t>
      </w:r>
      <w:r>
        <w:rPr>
          <w:spacing w:val="-2"/>
        </w:rPr>
        <w:t> </w:t>
      </w:r>
      <w:r>
        <w:rPr/>
        <w:t>impact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new</w:t>
      </w:r>
      <w:r>
        <w:rPr>
          <w:spacing w:val="-1"/>
        </w:rPr>
        <w:t> </w:t>
      </w:r>
      <w:r>
        <w:rPr/>
        <w:t>unit production throughout the City and on UC Davis land, as well as changes in overall demand preferences.</w:t>
      </w:r>
      <w:r>
        <w:rPr>
          <w:spacing w:val="-14"/>
        </w:rPr>
        <w:t> </w:t>
      </w:r>
      <w:r>
        <w:rPr/>
        <w:t>Furthermore,</w:t>
      </w:r>
      <w:r>
        <w:rPr>
          <w:spacing w:val="-14"/>
        </w:rPr>
        <w:t> </w:t>
      </w:r>
      <w:r>
        <w:rPr/>
        <w:t>approximately</w:t>
      </w:r>
      <w:r>
        <w:rPr>
          <w:spacing w:val="-14"/>
        </w:rPr>
        <w:t> </w:t>
      </w:r>
      <w:r>
        <w:rPr/>
        <w:t>51</w:t>
      </w:r>
      <w:r>
        <w:rPr>
          <w:spacing w:val="-13"/>
        </w:rPr>
        <w:t> </w:t>
      </w:r>
      <w:r>
        <w:rPr/>
        <w:t>percent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respondents</w:t>
      </w:r>
      <w:r>
        <w:rPr>
          <w:spacing w:val="-14"/>
        </w:rPr>
        <w:t> </w:t>
      </w:r>
      <w:r>
        <w:rPr/>
        <w:t>reported</w:t>
      </w:r>
      <w:r>
        <w:rPr>
          <w:spacing w:val="-13"/>
        </w:rPr>
        <w:t> </w:t>
      </w:r>
      <w:r>
        <w:rPr/>
        <w:t>decreasing</w:t>
      </w:r>
      <w:r>
        <w:rPr>
          <w:spacing w:val="-14"/>
        </w:rPr>
        <w:t> </w:t>
      </w:r>
      <w:r>
        <w:rPr/>
        <w:t>rents in</w:t>
      </w:r>
      <w:r>
        <w:rPr>
          <w:spacing w:val="-10"/>
        </w:rPr>
        <w:t> </w:t>
      </w:r>
      <w:r>
        <w:rPr/>
        <w:t>2025</w:t>
      </w:r>
      <w:r>
        <w:rPr>
          <w:spacing w:val="-8"/>
        </w:rPr>
        <w:t> </w:t>
      </w:r>
      <w:r>
        <w:rPr/>
        <w:t>relative</w:t>
      </w:r>
      <w:r>
        <w:rPr>
          <w:spacing w:val="-10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prior</w:t>
      </w:r>
      <w:r>
        <w:rPr>
          <w:spacing w:val="-10"/>
        </w:rPr>
        <w:t> </w:t>
      </w:r>
      <w:r>
        <w:rPr/>
        <w:t>leasing</w:t>
      </w:r>
      <w:r>
        <w:rPr>
          <w:spacing w:val="-9"/>
        </w:rPr>
        <w:t> </w:t>
      </w:r>
      <w:r>
        <w:rPr/>
        <w:t>season.</w:t>
      </w:r>
      <w:r>
        <w:rPr>
          <w:spacing w:val="-9"/>
        </w:rPr>
        <w:t> </w:t>
      </w:r>
      <w:r>
        <w:rPr/>
        <w:t>This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notable</w:t>
      </w:r>
      <w:r>
        <w:rPr>
          <w:spacing w:val="-10"/>
        </w:rPr>
        <w:t> </w:t>
      </w:r>
      <w:r>
        <w:rPr/>
        <w:t>change</w:t>
      </w:r>
      <w:r>
        <w:rPr>
          <w:spacing w:val="-9"/>
        </w:rPr>
        <w:t> </w:t>
      </w:r>
      <w:r>
        <w:rPr/>
        <w:t>from</w:t>
      </w:r>
      <w:r>
        <w:rPr>
          <w:spacing w:val="-8"/>
        </w:rPr>
        <w:t> </w:t>
      </w:r>
      <w:r>
        <w:rPr/>
        <w:t>2024,</w:t>
      </w:r>
      <w:r>
        <w:rPr>
          <w:spacing w:val="-9"/>
        </w:rPr>
        <w:t> </w:t>
      </w:r>
      <w:r>
        <w:rPr/>
        <w:t>when</w:t>
      </w:r>
      <w:r>
        <w:rPr>
          <w:spacing w:val="-10"/>
        </w:rPr>
        <w:t> </w:t>
      </w:r>
      <w:r>
        <w:rPr/>
        <w:t>only</w:t>
      </w:r>
      <w:r>
        <w:rPr>
          <w:spacing w:val="-9"/>
        </w:rPr>
        <w:t> </w:t>
      </w:r>
      <w:r>
        <w:rPr/>
        <w:t>30 percent</w:t>
      </w:r>
      <w:r>
        <w:rPr>
          <w:spacing w:val="-1"/>
        </w:rPr>
        <w:t> </w:t>
      </w:r>
      <w:r>
        <w:rPr/>
        <w:t>of respondents reported decreasing rents, and a significant</w:t>
      </w:r>
      <w:r>
        <w:rPr>
          <w:spacing w:val="-1"/>
        </w:rPr>
        <w:t> </w:t>
      </w:r>
      <w:r>
        <w:rPr/>
        <w:t>departure</w:t>
      </w:r>
      <w:r>
        <w:rPr>
          <w:spacing w:val="-1"/>
        </w:rPr>
        <w:t> </w:t>
      </w:r>
      <w:r>
        <w:rPr/>
        <w:t>from historical trends where very few properties reported rental rate decreases year-over-year.</w:t>
      </w:r>
    </w:p>
    <w:p>
      <w:pPr>
        <w:pStyle w:val="BodyText"/>
        <w:spacing w:before="58"/>
      </w:pPr>
    </w:p>
    <w:p>
      <w:pPr>
        <w:spacing w:before="0"/>
        <w:ind w:left="287" w:right="0" w:firstLine="0"/>
        <w:jc w:val="left"/>
        <w:rPr>
          <w:i/>
          <w:sz w:val="22"/>
        </w:rPr>
      </w:pPr>
      <w:r>
        <w:rPr>
          <w:i/>
          <w:sz w:val="22"/>
        </w:rPr>
        <w:t>Unit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Leases</w:t>
      </w:r>
    </w:p>
    <w:p>
      <w:pPr>
        <w:pStyle w:val="BodyText"/>
        <w:spacing w:line="288" w:lineRule="auto" w:before="51"/>
        <w:ind w:left="287" w:right="288"/>
      </w:pPr>
      <w:r>
        <w:rPr/>
        <w:t>Table</w:t>
      </w:r>
      <w:r>
        <w:rPr>
          <w:spacing w:val="-6"/>
        </w:rPr>
        <w:t> </w:t>
      </w:r>
      <w:r>
        <w:rPr/>
        <w:t>4,</w:t>
      </w:r>
      <w:r>
        <w:rPr>
          <w:spacing w:val="-5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page,</w:t>
      </w:r>
      <w:r>
        <w:rPr>
          <w:spacing w:val="-5"/>
        </w:rPr>
        <w:t> </w:t>
      </w:r>
      <w:r>
        <w:rPr/>
        <w:t>reports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range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weighted</w:t>
      </w:r>
      <w:r>
        <w:rPr>
          <w:spacing w:val="-4"/>
        </w:rPr>
        <w:t> </w:t>
      </w:r>
      <w:r>
        <w:rPr/>
        <w:t>average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reported</w:t>
      </w:r>
      <w:r>
        <w:rPr>
          <w:spacing w:val="-5"/>
        </w:rPr>
        <w:t> </w:t>
      </w:r>
      <w:r>
        <w:rPr/>
        <w:t>rental rates for apartments leased under unit lease arrangements. Note that the survey results reported here</w:t>
      </w:r>
      <w:r>
        <w:rPr>
          <w:spacing w:val="-1"/>
        </w:rPr>
        <w:t> </w:t>
      </w:r>
      <w:r>
        <w:rPr/>
        <w:t>represent properties for</w:t>
      </w:r>
      <w:r>
        <w:rPr>
          <w:spacing w:val="-1"/>
        </w:rPr>
        <w:t> </w:t>
      </w:r>
      <w:r>
        <w:rPr/>
        <w:t>which respondents reported both the</w:t>
      </w:r>
      <w:r>
        <w:rPr>
          <w:spacing w:val="-1"/>
        </w:rPr>
        <w:t> </w:t>
      </w:r>
      <w:r>
        <w:rPr/>
        <w:t>total number</w:t>
      </w:r>
      <w:r>
        <w:rPr>
          <w:spacing w:val="-1"/>
        </w:rPr>
        <w:t> </w:t>
      </w:r>
      <w:r>
        <w:rPr/>
        <w:t>of units,</w:t>
      </w:r>
      <w:r>
        <w:rPr>
          <w:spacing w:val="-1"/>
        </w:rPr>
        <w:t> </w:t>
      </w:r>
      <w:r>
        <w:rPr/>
        <w:t>by type,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corresponding</w:t>
      </w:r>
      <w:r>
        <w:rPr>
          <w:spacing w:val="-1"/>
        </w:rPr>
        <w:t> </w:t>
      </w:r>
      <w:r>
        <w:rPr/>
        <w:t>rental rate</w:t>
      </w:r>
      <w:r>
        <w:rPr>
          <w:spacing w:val="-2"/>
        </w:rPr>
        <w:t> </w:t>
      </w:r>
      <w:r>
        <w:rPr/>
        <w:t>information.</w:t>
      </w:r>
      <w:r>
        <w:rPr>
          <w:spacing w:val="-1"/>
        </w:rPr>
        <w:t> </w:t>
      </w:r>
      <w:r>
        <w:rPr/>
        <w:t>Based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information,</w:t>
      </w:r>
      <w:r>
        <w:rPr>
          <w:spacing w:val="-1"/>
        </w:rPr>
        <w:t> </w:t>
      </w:r>
      <w:r>
        <w:rPr/>
        <w:t>the average rental rate for all units was $2,309 per month,</w:t>
      </w:r>
      <w:hyperlink w:history="true" w:anchor="_bookmark5">
        <w:r>
          <w:rPr>
            <w:position w:val="5"/>
            <w:sz w:val="14"/>
          </w:rPr>
          <w:t>6</w:t>
        </w:r>
      </w:hyperlink>
      <w:r>
        <w:rPr>
          <w:spacing w:val="22"/>
          <w:position w:val="5"/>
          <w:sz w:val="14"/>
        </w:rPr>
        <w:t> </w:t>
      </w:r>
      <w:r>
        <w:rPr/>
        <w:t>which represents a 4.8 percent decrease</w:t>
      </w:r>
      <w:r>
        <w:rPr>
          <w:spacing w:val="-11"/>
        </w:rPr>
        <w:t> </w:t>
      </w:r>
      <w:r>
        <w:rPr/>
        <w:t>over</w:t>
      </w:r>
      <w:r>
        <w:rPr>
          <w:spacing w:val="-11"/>
        </w:rPr>
        <w:t> </w:t>
      </w:r>
      <w:r>
        <w:rPr/>
        <w:t>2024,</w:t>
      </w:r>
      <w:r>
        <w:rPr>
          <w:spacing w:val="-10"/>
        </w:rPr>
        <w:t> </w:t>
      </w:r>
      <w:r>
        <w:rPr/>
        <w:t>when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average</w:t>
      </w:r>
      <w:r>
        <w:rPr>
          <w:spacing w:val="-11"/>
        </w:rPr>
        <w:t> </w:t>
      </w:r>
      <w:r>
        <w:rPr/>
        <w:t>rental</w:t>
      </w:r>
      <w:r>
        <w:rPr>
          <w:spacing w:val="-10"/>
        </w:rPr>
        <w:t> </w:t>
      </w:r>
      <w:r>
        <w:rPr/>
        <w:t>rate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unit-leased</w:t>
      </w:r>
      <w:r>
        <w:rPr>
          <w:spacing w:val="-10"/>
        </w:rPr>
        <w:t> </w:t>
      </w:r>
      <w:r>
        <w:rPr/>
        <w:t>apartments</w:t>
      </w:r>
      <w:r>
        <w:rPr>
          <w:spacing w:val="-10"/>
        </w:rPr>
        <w:t> </w:t>
      </w:r>
      <w:r>
        <w:rPr/>
        <w:t>was</w:t>
      </w:r>
      <w:r>
        <w:rPr>
          <w:spacing w:val="-10"/>
        </w:rPr>
        <w:t> </w:t>
      </w:r>
      <w:r>
        <w:rPr/>
        <w:t>$2,435</w:t>
      </w:r>
      <w:r>
        <w:rPr>
          <w:spacing w:val="-11"/>
        </w:rPr>
        <w:t> </w:t>
      </w:r>
      <w:r>
        <w:rPr/>
        <w:t>per month.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rental rate</w:t>
      </w:r>
      <w:r>
        <w:rPr>
          <w:spacing w:val="-2"/>
        </w:rPr>
        <w:t> </w:t>
      </w:r>
      <w:r>
        <w:rPr/>
        <w:t>decrease</w:t>
      </w:r>
      <w:r>
        <w:rPr>
          <w:spacing w:val="-2"/>
        </w:rPr>
        <w:t> </w:t>
      </w:r>
      <w:r>
        <w:rPr/>
        <w:t>comes</w:t>
      </w:r>
      <w:r>
        <w:rPr>
          <w:spacing w:val="-1"/>
        </w:rPr>
        <w:t> </w:t>
      </w:r>
      <w:r>
        <w:rPr/>
        <w:t>after</w:t>
      </w:r>
      <w:r>
        <w:rPr>
          <w:spacing w:val="-2"/>
        </w:rPr>
        <w:t> </w:t>
      </w:r>
      <w:r>
        <w:rPr/>
        <w:t>several</w:t>
      </w:r>
      <w:r>
        <w:rPr>
          <w:spacing w:val="-1"/>
        </w:rPr>
        <w:t> </w:t>
      </w:r>
      <w:r>
        <w:rPr/>
        <w:t>years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limited</w:t>
      </w:r>
      <w:r>
        <w:rPr>
          <w:spacing w:val="-1"/>
        </w:rPr>
        <w:t> </w:t>
      </w:r>
      <w:r>
        <w:rPr/>
        <w:t>year-over-year</w:t>
      </w:r>
      <w:r>
        <w:rPr>
          <w:spacing w:val="-2"/>
        </w:rPr>
        <w:t> </w:t>
      </w:r>
      <w:r>
        <w:rPr/>
        <w:t>rent </w:t>
      </w:r>
      <w:r>
        <w:rPr>
          <w:spacing w:val="-2"/>
        </w:rPr>
        <w:t>growth.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1097280</wp:posOffset>
                </wp:positionH>
                <wp:positionV relativeFrom="paragraph">
                  <wp:posOffset>159916</wp:posOffset>
                </wp:positionV>
                <wp:extent cx="1828800" cy="6985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18288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98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858"/>
                              </a:lnTo>
                              <a:lnTo>
                                <a:pt x="1828800" y="6858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6.400002pt;margin-top:12.591855pt;width:144pt;height:.54pt;mso-position-horizontal-relative:page;mso-position-vertical-relative:paragraph;z-index:-15723520;mso-wrap-distance-left:0;mso-wrap-distance-right:0" id="docshape5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8"/>
        </w:rPr>
      </w:pPr>
    </w:p>
    <w:p>
      <w:pPr>
        <w:pStyle w:val="BodyText"/>
        <w:spacing w:before="80"/>
        <w:rPr>
          <w:sz w:val="18"/>
        </w:rPr>
      </w:pPr>
    </w:p>
    <w:p>
      <w:pPr>
        <w:spacing w:line="352" w:lineRule="auto" w:before="1"/>
        <w:ind w:left="287" w:right="288" w:firstLine="0"/>
        <w:jc w:val="left"/>
        <w:rPr>
          <w:sz w:val="18"/>
        </w:rPr>
      </w:pPr>
      <w:bookmarkStart w:name="_bookmark5" w:id="17"/>
      <w:bookmarkEnd w:id="17"/>
      <w:r>
        <w:rPr/>
      </w:r>
      <w:r>
        <w:rPr>
          <w:position w:val="4"/>
          <w:sz w:val="12"/>
        </w:rPr>
        <w:t>6</w:t>
      </w:r>
      <w:r>
        <w:rPr>
          <w:spacing w:val="8"/>
          <w:position w:val="4"/>
          <w:sz w:val="12"/>
        </w:rPr>
        <w:t> </w:t>
      </w:r>
      <w:r>
        <w:rPr>
          <w:sz w:val="18"/>
        </w:rPr>
        <w:t>In</w:t>
      </w:r>
      <w:r>
        <w:rPr>
          <w:spacing w:val="-7"/>
          <w:sz w:val="18"/>
        </w:rPr>
        <w:t> </w:t>
      </w:r>
      <w:r>
        <w:rPr>
          <w:sz w:val="18"/>
        </w:rPr>
        <w:t>cases</w:t>
      </w:r>
      <w:r>
        <w:rPr>
          <w:spacing w:val="-8"/>
          <w:sz w:val="18"/>
        </w:rPr>
        <w:t> </w:t>
      </w:r>
      <w:r>
        <w:rPr>
          <w:sz w:val="18"/>
        </w:rPr>
        <w:t>where</w:t>
      </w:r>
      <w:r>
        <w:rPr>
          <w:spacing w:val="-8"/>
          <w:sz w:val="18"/>
        </w:rPr>
        <w:t> </w:t>
      </w:r>
      <w:r>
        <w:rPr>
          <w:sz w:val="18"/>
        </w:rPr>
        <w:t>the</w:t>
      </w:r>
      <w:r>
        <w:rPr>
          <w:spacing w:val="-7"/>
          <w:sz w:val="18"/>
        </w:rPr>
        <w:t> </w:t>
      </w:r>
      <w:r>
        <w:rPr>
          <w:sz w:val="18"/>
        </w:rPr>
        <w:t>respondent</w:t>
      </w:r>
      <w:r>
        <w:rPr>
          <w:spacing w:val="-7"/>
          <w:sz w:val="18"/>
        </w:rPr>
        <w:t> </w:t>
      </w:r>
      <w:r>
        <w:rPr>
          <w:sz w:val="18"/>
        </w:rPr>
        <w:t>provided</w:t>
      </w:r>
      <w:r>
        <w:rPr>
          <w:spacing w:val="-7"/>
          <w:sz w:val="18"/>
        </w:rPr>
        <w:t> </w:t>
      </w:r>
      <w:r>
        <w:rPr>
          <w:sz w:val="18"/>
        </w:rPr>
        <w:t>a</w:t>
      </w:r>
      <w:r>
        <w:rPr>
          <w:spacing w:val="-7"/>
          <w:sz w:val="18"/>
        </w:rPr>
        <w:t> </w:t>
      </w:r>
      <w:r>
        <w:rPr>
          <w:sz w:val="18"/>
        </w:rPr>
        <w:t>range</w:t>
      </w:r>
      <w:r>
        <w:rPr>
          <w:spacing w:val="-7"/>
          <w:sz w:val="18"/>
        </w:rPr>
        <w:t> </w:t>
      </w:r>
      <w:r>
        <w:rPr>
          <w:sz w:val="18"/>
        </w:rPr>
        <w:t>of</w:t>
      </w:r>
      <w:r>
        <w:rPr>
          <w:spacing w:val="-7"/>
          <w:sz w:val="18"/>
        </w:rPr>
        <w:t> </w:t>
      </w:r>
      <w:r>
        <w:rPr>
          <w:sz w:val="18"/>
        </w:rPr>
        <w:t>prices</w:t>
      </w:r>
      <w:r>
        <w:rPr>
          <w:spacing w:val="-6"/>
          <w:sz w:val="18"/>
        </w:rPr>
        <w:t> </w:t>
      </w:r>
      <w:r>
        <w:rPr>
          <w:sz w:val="18"/>
        </w:rPr>
        <w:t>for</w:t>
      </w:r>
      <w:r>
        <w:rPr>
          <w:spacing w:val="-7"/>
          <w:sz w:val="18"/>
        </w:rPr>
        <w:t> </w:t>
      </w:r>
      <w:r>
        <w:rPr>
          <w:sz w:val="18"/>
        </w:rPr>
        <w:t>a</w:t>
      </w:r>
      <w:r>
        <w:rPr>
          <w:spacing w:val="-8"/>
          <w:sz w:val="18"/>
        </w:rPr>
        <w:t> </w:t>
      </w:r>
      <w:r>
        <w:rPr>
          <w:sz w:val="18"/>
        </w:rPr>
        <w:t>given</w:t>
      </w:r>
      <w:r>
        <w:rPr>
          <w:spacing w:val="-7"/>
          <w:sz w:val="18"/>
        </w:rPr>
        <w:t> </w:t>
      </w:r>
      <w:r>
        <w:rPr>
          <w:sz w:val="18"/>
        </w:rPr>
        <w:t>unit</w:t>
      </w:r>
      <w:r>
        <w:rPr>
          <w:spacing w:val="-7"/>
          <w:sz w:val="18"/>
        </w:rPr>
        <w:t> </w:t>
      </w:r>
      <w:r>
        <w:rPr>
          <w:sz w:val="18"/>
        </w:rPr>
        <w:t>type,</w:t>
      </w:r>
      <w:r>
        <w:rPr>
          <w:spacing w:val="-6"/>
          <w:sz w:val="18"/>
        </w:rPr>
        <w:t> </w:t>
      </w:r>
      <w:r>
        <w:rPr>
          <w:sz w:val="18"/>
        </w:rPr>
        <w:t>but</w:t>
      </w:r>
      <w:r>
        <w:rPr>
          <w:spacing w:val="-7"/>
          <w:sz w:val="18"/>
        </w:rPr>
        <w:t> </w:t>
      </w:r>
      <w:r>
        <w:rPr>
          <w:sz w:val="18"/>
        </w:rPr>
        <w:t>no</w:t>
      </w:r>
      <w:r>
        <w:rPr>
          <w:spacing w:val="-7"/>
          <w:sz w:val="18"/>
        </w:rPr>
        <w:t> </w:t>
      </w:r>
      <w:r>
        <w:rPr>
          <w:sz w:val="18"/>
        </w:rPr>
        <w:t>corresponding</w:t>
      </w:r>
      <w:r>
        <w:rPr>
          <w:spacing w:val="-7"/>
          <w:sz w:val="18"/>
        </w:rPr>
        <w:t> </w:t>
      </w:r>
      <w:r>
        <w:rPr>
          <w:sz w:val="18"/>
        </w:rPr>
        <w:t>unit</w:t>
      </w:r>
      <w:r>
        <w:rPr>
          <w:spacing w:val="-7"/>
          <w:sz w:val="18"/>
        </w:rPr>
        <w:t> </w:t>
      </w:r>
      <w:r>
        <w:rPr>
          <w:sz w:val="18"/>
        </w:rPr>
        <w:t>totals, BAE</w:t>
      </w:r>
      <w:r>
        <w:rPr>
          <w:spacing w:val="-1"/>
          <w:sz w:val="18"/>
        </w:rPr>
        <w:t> </w:t>
      </w:r>
      <w:r>
        <w:rPr>
          <w:sz w:val="18"/>
        </w:rPr>
        <w:t>applied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mid-point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range. The</w:t>
      </w:r>
      <w:r>
        <w:rPr>
          <w:spacing w:val="-1"/>
          <w:sz w:val="18"/>
        </w:rPr>
        <w:t> </w:t>
      </w:r>
      <w:r>
        <w:rPr>
          <w:sz w:val="18"/>
        </w:rPr>
        <w:t>reported</w:t>
      </w:r>
      <w:r>
        <w:rPr>
          <w:spacing w:val="-1"/>
          <w:sz w:val="18"/>
        </w:rPr>
        <w:t> </w:t>
      </w:r>
      <w:r>
        <w:rPr>
          <w:sz w:val="18"/>
        </w:rPr>
        <w:t>values represent</w:t>
      </w:r>
      <w:r>
        <w:rPr>
          <w:spacing w:val="-1"/>
          <w:sz w:val="18"/>
        </w:rPr>
        <w:t> </w:t>
      </w:r>
      <w:r>
        <w:rPr>
          <w:sz w:val="18"/>
        </w:rPr>
        <w:t>weighted</w:t>
      </w:r>
      <w:r>
        <w:rPr>
          <w:spacing w:val="-1"/>
          <w:sz w:val="18"/>
        </w:rPr>
        <w:t> </w:t>
      </w:r>
      <w:r>
        <w:rPr>
          <w:sz w:val="18"/>
        </w:rPr>
        <w:t>averages,</w:t>
      </w:r>
      <w:r>
        <w:rPr>
          <w:spacing w:val="-2"/>
          <w:sz w:val="18"/>
        </w:rPr>
        <w:t> </w:t>
      </w:r>
      <w:r>
        <w:rPr>
          <w:sz w:val="18"/>
        </w:rPr>
        <w:t>which</w:t>
      </w:r>
      <w:r>
        <w:rPr>
          <w:spacing w:val="-1"/>
          <w:sz w:val="18"/>
        </w:rPr>
        <w:t> </w:t>
      </w:r>
      <w:r>
        <w:rPr>
          <w:sz w:val="18"/>
        </w:rPr>
        <w:t>reflect</w:t>
      </w:r>
      <w:r>
        <w:rPr>
          <w:spacing w:val="-1"/>
          <w:sz w:val="18"/>
        </w:rPr>
        <w:t> </w:t>
      </w:r>
      <w:r>
        <w:rPr>
          <w:sz w:val="18"/>
        </w:rPr>
        <w:t>the reported rental rates and the total number of units and/or beds.</w:t>
      </w:r>
    </w:p>
    <w:p>
      <w:pPr>
        <w:spacing w:after="0" w:line="352" w:lineRule="auto"/>
        <w:jc w:val="left"/>
        <w:rPr>
          <w:sz w:val="18"/>
        </w:rPr>
        <w:sectPr>
          <w:pgSz w:w="12240" w:h="15840"/>
          <w:pgMar w:header="0" w:footer="794" w:top="1700" w:bottom="980" w:left="1440" w:right="1440"/>
        </w:sectPr>
      </w:pPr>
    </w:p>
    <w:p>
      <w:pPr>
        <w:spacing w:before="78"/>
        <w:ind w:left="288" w:right="0" w:firstLine="0"/>
        <w:jc w:val="left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1078230</wp:posOffset>
                </wp:positionH>
                <wp:positionV relativeFrom="paragraph">
                  <wp:posOffset>220459</wp:posOffset>
                </wp:positionV>
                <wp:extent cx="5616575" cy="6350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56165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6575" h="6350">
                              <a:moveTo>
                                <a:pt x="5615952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615952" y="6108"/>
                              </a:lnTo>
                              <a:lnTo>
                                <a:pt x="5615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900002pt;margin-top:17.358999pt;width:442.201pt;height:.481pt;mso-position-horizontal-relative:page;mso-position-vertical-relative:paragraph;z-index:15734784" id="docshape54" filled="true" fillcolor="#000000" stroked="false">
                <v:fill type="solid"/>
                <w10:wrap type="none"/>
              </v:rect>
            </w:pict>
          </mc:Fallback>
        </mc:AlternateContent>
      </w:r>
      <w:bookmarkStart w:name="Table 4:  Rental Rates for Unit Leases b" w:id="18"/>
      <w:bookmarkEnd w:id="18"/>
      <w:r>
        <w:rPr/>
      </w:r>
      <w:r>
        <w:rPr>
          <w:i/>
          <w:sz w:val="22"/>
        </w:rPr>
        <w:t>Table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4:</w:t>
      </w:r>
      <w:r>
        <w:rPr>
          <w:i/>
          <w:spacing w:val="45"/>
          <w:sz w:val="22"/>
        </w:rPr>
        <w:t> </w:t>
      </w:r>
      <w:r>
        <w:rPr>
          <w:i/>
          <w:sz w:val="22"/>
        </w:rPr>
        <w:t>Rental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Rates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Leases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6"/>
          <w:sz w:val="22"/>
        </w:rPr>
        <w:t> </w:t>
      </w:r>
      <w:r>
        <w:rPr>
          <w:i/>
          <w:spacing w:val="-4"/>
          <w:sz w:val="22"/>
        </w:rPr>
        <w:t>Size</w:t>
      </w:r>
    </w:p>
    <w:p>
      <w:pPr>
        <w:tabs>
          <w:tab w:pos="5653" w:val="left" w:leader="none"/>
          <w:tab w:pos="7370" w:val="right" w:leader="none"/>
        </w:tabs>
        <w:spacing w:before="168" w:after="24"/>
        <w:ind w:left="270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2025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Survey</w:t>
      </w:r>
      <w:r>
        <w:rPr>
          <w:rFonts w:ascii="Arial"/>
          <w:b/>
          <w:spacing w:val="-9"/>
          <w:sz w:val="16"/>
        </w:rPr>
        <w:t> </w:t>
      </w:r>
      <w:r>
        <w:rPr>
          <w:rFonts w:ascii="Arial"/>
          <w:b/>
          <w:spacing w:val="-2"/>
          <w:sz w:val="16"/>
        </w:rPr>
        <w:t>Results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4"/>
          <w:sz w:val="16"/>
        </w:rPr>
        <w:t>2024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4"/>
          <w:sz w:val="16"/>
        </w:rPr>
        <w:t>2023</w:t>
      </w:r>
    </w:p>
    <w:tbl>
      <w:tblPr>
        <w:tblW w:w="0" w:type="auto"/>
        <w:jc w:val="left"/>
        <w:tblInd w:w="2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9"/>
        <w:gridCol w:w="192"/>
        <w:gridCol w:w="761"/>
        <w:gridCol w:w="192"/>
        <w:gridCol w:w="823"/>
        <w:gridCol w:w="192"/>
        <w:gridCol w:w="1066"/>
        <w:gridCol w:w="192"/>
        <w:gridCol w:w="1275"/>
        <w:gridCol w:w="192"/>
        <w:gridCol w:w="1066"/>
        <w:gridCol w:w="1384"/>
      </w:tblGrid>
      <w:tr>
        <w:trPr>
          <w:trHeight w:val="411" w:hRule="atLeast"/>
        </w:trPr>
        <w:tc>
          <w:tcPr>
            <w:tcW w:w="14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8" w:lineRule="exact" w:before="214"/>
              <w:ind w:left="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Unit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4"/>
                <w:sz w:val="16"/>
              </w:rPr>
              <w:t>Size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78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Minimum</w:t>
            </w:r>
          </w:p>
        </w:tc>
        <w:tc>
          <w:tcPr>
            <w:tcW w:w="19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78" w:lineRule="exact"/>
              <w:ind w:right="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Maximum</w:t>
            </w:r>
          </w:p>
        </w:tc>
        <w:tc>
          <w:tcPr>
            <w:tcW w:w="19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2" w:lineRule="exact"/>
              <w:ind w:left="200"/>
              <w:rPr>
                <w:sz w:val="16"/>
              </w:rPr>
            </w:pPr>
            <w:r>
              <w:rPr>
                <w:spacing w:val="-2"/>
                <w:sz w:val="16"/>
              </w:rPr>
              <w:t>Weighted</w:t>
            </w:r>
          </w:p>
          <w:p>
            <w:pPr>
              <w:pStyle w:val="TableParagraph"/>
              <w:spacing w:line="178" w:lineRule="exact" w:before="32"/>
              <w:ind w:left="123"/>
              <w:rPr>
                <w:sz w:val="16"/>
              </w:rPr>
            </w:pPr>
            <w:r>
              <w:rPr>
                <w:sz w:val="16"/>
              </w:rPr>
              <w:t>Average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2" w:lineRule="exact"/>
              <w:ind w:left="303"/>
              <w:rPr>
                <w:sz w:val="16"/>
              </w:rPr>
            </w:pPr>
            <w:r>
              <w:rPr>
                <w:spacing w:val="-2"/>
                <w:sz w:val="16"/>
              </w:rPr>
              <w:t>Weighted</w:t>
            </w:r>
          </w:p>
          <w:p>
            <w:pPr>
              <w:pStyle w:val="TableParagraph"/>
              <w:spacing w:line="178" w:lineRule="exact" w:before="32"/>
              <w:ind w:left="228"/>
              <w:rPr>
                <w:sz w:val="16"/>
              </w:rPr>
            </w:pPr>
            <w:r>
              <w:rPr>
                <w:sz w:val="16"/>
              </w:rPr>
              <w:t>Average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2" w:lineRule="exact"/>
              <w:ind w:left="199"/>
              <w:rPr>
                <w:sz w:val="16"/>
              </w:rPr>
            </w:pPr>
            <w:r>
              <w:rPr>
                <w:spacing w:val="-2"/>
                <w:sz w:val="16"/>
              </w:rPr>
              <w:t>Weighted</w:t>
            </w:r>
          </w:p>
          <w:p>
            <w:pPr>
              <w:pStyle w:val="TableParagraph"/>
              <w:spacing w:line="178" w:lineRule="exact" w:before="32"/>
              <w:ind w:left="123"/>
              <w:rPr>
                <w:sz w:val="16"/>
              </w:rPr>
            </w:pPr>
            <w:r>
              <w:rPr>
                <w:sz w:val="16"/>
              </w:rPr>
              <w:t>Average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148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1" w:lineRule="exact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Studio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1" w:lineRule="exact"/>
              <w:ind w:right="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$1,050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1" w:lineRule="exact"/>
              <w:ind w:right="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$2,438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1" w:lineRule="exact"/>
              <w:ind w:right="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$1,673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1" w:lineRule="exact"/>
              <w:ind w:right="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$1,538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1" w:lineRule="exact"/>
              <w:ind w:right="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$1,504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1489" w:type="dxa"/>
          </w:tcPr>
          <w:p>
            <w:pPr>
              <w:pStyle w:val="TableParagraph"/>
              <w:spacing w:line="182" w:lineRule="exact" w:before="13"/>
              <w:ind w:left="53"/>
              <w:rPr>
                <w:sz w:val="16"/>
              </w:rPr>
            </w:pPr>
            <w:r>
              <w:rPr>
                <w:sz w:val="16"/>
              </w:rPr>
              <w:t>1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spacing w:line="182" w:lineRule="exact" w:before="13"/>
              <w:ind w:right="3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$1,259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</w:tcPr>
          <w:p>
            <w:pPr>
              <w:pStyle w:val="TableParagraph"/>
              <w:spacing w:line="182" w:lineRule="exact" w:before="13"/>
              <w:ind w:right="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$2,845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spacing w:line="182" w:lineRule="exact" w:before="13"/>
              <w:ind w:right="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$1,895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182" w:lineRule="exact" w:before="13"/>
              <w:ind w:right="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$1,938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spacing w:line="182" w:lineRule="exact" w:before="13"/>
              <w:ind w:right="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$1,813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1489" w:type="dxa"/>
          </w:tcPr>
          <w:p>
            <w:pPr>
              <w:pStyle w:val="TableParagraph"/>
              <w:spacing w:line="182" w:lineRule="exact" w:before="13"/>
              <w:ind w:left="53"/>
              <w:rPr>
                <w:sz w:val="16"/>
              </w:rPr>
            </w:pPr>
            <w:r>
              <w:rPr>
                <w:sz w:val="16"/>
              </w:rPr>
              <w:t>2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spacing w:line="182" w:lineRule="exact" w:before="13"/>
              <w:ind w:right="3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$1,250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</w:tcPr>
          <w:p>
            <w:pPr>
              <w:pStyle w:val="TableParagraph"/>
              <w:spacing w:line="182" w:lineRule="exact" w:before="13"/>
              <w:ind w:right="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$3,475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spacing w:line="182" w:lineRule="exact" w:before="13"/>
              <w:ind w:right="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$2,303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182" w:lineRule="exact" w:before="13"/>
              <w:ind w:right="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$2,374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spacing w:line="182" w:lineRule="exact" w:before="13"/>
              <w:ind w:right="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$2,295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1489" w:type="dxa"/>
          </w:tcPr>
          <w:p>
            <w:pPr>
              <w:pStyle w:val="TableParagraph"/>
              <w:spacing w:line="182" w:lineRule="exact" w:before="13"/>
              <w:ind w:left="52"/>
              <w:rPr>
                <w:sz w:val="16"/>
              </w:rPr>
            </w:pPr>
            <w:r>
              <w:rPr>
                <w:sz w:val="16"/>
              </w:rPr>
              <w:t>3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spacing w:line="182" w:lineRule="exact" w:before="13"/>
              <w:ind w:right="3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$1,709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</w:tcPr>
          <w:p>
            <w:pPr>
              <w:pStyle w:val="TableParagraph"/>
              <w:spacing w:line="182" w:lineRule="exact" w:before="13"/>
              <w:ind w:right="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$4,575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spacing w:line="182" w:lineRule="exact" w:before="13"/>
              <w:ind w:right="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$3,216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182" w:lineRule="exact" w:before="13"/>
              <w:ind w:right="3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$3,273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spacing w:line="182" w:lineRule="exact" w:before="13"/>
              <w:ind w:right="3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$3,202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148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8" w:lineRule="exact" w:before="13"/>
              <w:ind w:left="52"/>
              <w:rPr>
                <w:sz w:val="16"/>
              </w:rPr>
            </w:pPr>
            <w:r>
              <w:rPr>
                <w:sz w:val="16"/>
              </w:rPr>
              <w:t>4+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8" w:lineRule="exact" w:before="13"/>
              <w:ind w:right="3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$3,295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8" w:lineRule="exact" w:before="13"/>
              <w:ind w:right="3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$6,748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8" w:lineRule="exact" w:before="13"/>
              <w:ind w:right="3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$4,098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8" w:lineRule="exact" w:before="13"/>
              <w:ind w:right="3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$4,077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8" w:lineRule="exact" w:before="13"/>
              <w:ind w:right="3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$3,825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3" w:hRule="atLeast"/>
        </w:trPr>
        <w:tc>
          <w:tcPr>
            <w:tcW w:w="1489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lef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Total,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All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Sizes</w:t>
            </w:r>
          </w:p>
        </w:tc>
        <w:tc>
          <w:tcPr>
            <w:tcW w:w="19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right="3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$1,050</w:t>
            </w:r>
          </w:p>
        </w:tc>
        <w:tc>
          <w:tcPr>
            <w:tcW w:w="19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right="3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$6,748</w:t>
            </w:r>
          </w:p>
        </w:tc>
        <w:tc>
          <w:tcPr>
            <w:tcW w:w="19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right="3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$2,309</w:t>
            </w:r>
          </w:p>
        </w:tc>
        <w:tc>
          <w:tcPr>
            <w:tcW w:w="19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right="3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$2,425</w:t>
            </w:r>
          </w:p>
        </w:tc>
        <w:tc>
          <w:tcPr>
            <w:tcW w:w="19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182" w:lineRule="exact"/>
              <w:ind w:right="3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$2,372</w:t>
            </w:r>
          </w:p>
        </w:tc>
        <w:tc>
          <w:tcPr>
            <w:tcW w:w="138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184" w:lineRule="exact" w:before="14"/>
        <w:ind w:left="288" w:right="0" w:firstLine="0"/>
        <w:jc w:val="left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Note:</w:t>
      </w:r>
    </w:p>
    <w:p>
      <w:pPr>
        <w:spacing w:before="0"/>
        <w:ind w:left="288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(a)</w:t>
      </w:r>
      <w:r>
        <w:rPr>
          <w:rFonts w:ascii="Arial MT"/>
          <w:spacing w:val="39"/>
          <w:sz w:val="16"/>
        </w:rPr>
        <w:t> </w:t>
      </w:r>
      <w:r>
        <w:rPr>
          <w:rFonts w:ascii="Arial MT"/>
          <w:sz w:val="16"/>
        </w:rPr>
        <w:t>Figures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z w:val="16"/>
        </w:rPr>
        <w:t>represent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weighted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average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rental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z w:val="16"/>
        </w:rPr>
        <w:t>rates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z w:val="16"/>
        </w:rPr>
        <w:t>and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include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only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z w:val="16"/>
        </w:rPr>
        <w:t>those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complexes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z w:val="16"/>
        </w:rPr>
        <w:t>where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the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respondent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identified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the number of units by type, the number of beds per unit, and associated rental rates.</w:t>
      </w:r>
    </w:p>
    <w:p>
      <w:pPr>
        <w:pStyle w:val="BodyText"/>
        <w:rPr>
          <w:rFonts w:ascii="Arial MT"/>
          <w:sz w:val="16"/>
        </w:rPr>
      </w:pPr>
    </w:p>
    <w:p>
      <w:pPr>
        <w:spacing w:before="0"/>
        <w:ind w:left="288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Source:</w:t>
      </w:r>
      <w:r>
        <w:rPr>
          <w:rFonts w:ascii="Arial MT"/>
          <w:spacing w:val="36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5"/>
          <w:sz w:val="16"/>
        </w:rPr>
        <w:t> </w:t>
      </w:r>
      <w:r>
        <w:rPr>
          <w:rFonts w:ascii="Arial MT"/>
          <w:spacing w:val="-4"/>
          <w:sz w:val="16"/>
        </w:rPr>
        <w:t>2025.</w:t>
      </w:r>
    </w:p>
    <w:p>
      <w:pPr>
        <w:pStyle w:val="BodyText"/>
        <w:spacing w:before="167"/>
        <w:rPr>
          <w:rFonts w:ascii="Arial MT"/>
          <w:sz w:val="16"/>
        </w:rPr>
      </w:pPr>
    </w:p>
    <w:p>
      <w:pPr>
        <w:spacing w:before="0"/>
        <w:ind w:left="288" w:right="0" w:firstLine="0"/>
        <w:jc w:val="left"/>
        <w:rPr>
          <w:i/>
          <w:sz w:val="22"/>
        </w:rPr>
      </w:pPr>
      <w:r>
        <w:rPr>
          <w:i/>
          <w:sz w:val="22"/>
        </w:rPr>
        <w:t>Bed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Leases</w:t>
      </w:r>
    </w:p>
    <w:p>
      <w:pPr>
        <w:pStyle w:val="BodyText"/>
        <w:spacing w:line="288" w:lineRule="auto" w:before="51"/>
        <w:ind w:left="287" w:right="383"/>
      </w:pPr>
      <w:r>
        <w:rPr/>
        <w:t>Table</w:t>
      </w:r>
      <w:r>
        <w:rPr>
          <w:spacing w:val="-9"/>
        </w:rPr>
        <w:t> </w:t>
      </w:r>
      <w:r>
        <w:rPr/>
        <w:t>5</w:t>
      </w:r>
      <w:r>
        <w:rPr>
          <w:spacing w:val="-8"/>
        </w:rPr>
        <w:t> </w:t>
      </w:r>
      <w:r>
        <w:rPr/>
        <w:t>illustrates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weighted</w:t>
      </w:r>
      <w:r>
        <w:rPr>
          <w:spacing w:val="-8"/>
        </w:rPr>
        <w:t> </w:t>
      </w:r>
      <w:r>
        <w:rPr/>
        <w:t>average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reported</w:t>
      </w:r>
      <w:r>
        <w:rPr>
          <w:spacing w:val="-8"/>
        </w:rPr>
        <w:t> </w:t>
      </w:r>
      <w:r>
        <w:rPr/>
        <w:t>rental</w:t>
      </w:r>
      <w:r>
        <w:rPr>
          <w:spacing w:val="-8"/>
        </w:rPr>
        <w:t> </w:t>
      </w:r>
      <w:r>
        <w:rPr/>
        <w:t>rates</w:t>
      </w:r>
      <w:r>
        <w:rPr>
          <w:spacing w:val="-8"/>
        </w:rPr>
        <w:t> </w:t>
      </w:r>
      <w:r>
        <w:rPr/>
        <w:t>for</w:t>
      </w:r>
      <w:r>
        <w:rPr>
          <w:spacing w:val="-9"/>
        </w:rPr>
        <w:t> </w:t>
      </w:r>
      <w:r>
        <w:rPr/>
        <w:t>individual</w:t>
      </w:r>
      <w:r>
        <w:rPr>
          <w:spacing w:val="-8"/>
        </w:rPr>
        <w:t> </w:t>
      </w:r>
      <w:r>
        <w:rPr/>
        <w:t>bed</w:t>
      </w:r>
      <w:r>
        <w:rPr>
          <w:spacing w:val="-8"/>
        </w:rPr>
        <w:t> </w:t>
      </w:r>
      <w:r>
        <w:rPr/>
        <w:t>leases. Note that the reported survey results only include those responses that identified the total number of bed-leased units, by type, the total number of beds per unit, and the associated rental</w:t>
      </w:r>
      <w:r>
        <w:rPr>
          <w:spacing w:val="-10"/>
        </w:rPr>
        <w:t> </w:t>
      </w:r>
      <w:r>
        <w:rPr/>
        <w:t>rate</w:t>
      </w:r>
      <w:r>
        <w:rPr>
          <w:spacing w:val="-11"/>
        </w:rPr>
        <w:t> </w:t>
      </w:r>
      <w:r>
        <w:rPr/>
        <w:t>information.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weighted</w:t>
      </w:r>
      <w:r>
        <w:rPr>
          <w:spacing w:val="-9"/>
        </w:rPr>
        <w:t> </w:t>
      </w:r>
      <w:r>
        <w:rPr/>
        <w:t>average</w:t>
      </w:r>
      <w:r>
        <w:rPr>
          <w:spacing w:val="-11"/>
        </w:rPr>
        <w:t> </w:t>
      </w:r>
      <w:r>
        <w:rPr/>
        <w:t>rental</w:t>
      </w:r>
      <w:r>
        <w:rPr>
          <w:spacing w:val="-10"/>
        </w:rPr>
        <w:t> </w:t>
      </w:r>
      <w:r>
        <w:rPr/>
        <w:t>rate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bed</w:t>
      </w:r>
      <w:r>
        <w:rPr>
          <w:spacing w:val="-10"/>
        </w:rPr>
        <w:t> </w:t>
      </w:r>
      <w:r>
        <w:rPr/>
        <w:t>lease,</w:t>
      </w:r>
      <w:r>
        <w:rPr>
          <w:spacing w:val="-10"/>
        </w:rPr>
        <w:t> </w:t>
      </w:r>
      <w:r>
        <w:rPr/>
        <w:t>across</w:t>
      </w:r>
      <w:r>
        <w:rPr>
          <w:spacing w:val="-10"/>
        </w:rPr>
        <w:t> </w:t>
      </w:r>
      <w:r>
        <w:rPr/>
        <w:t>all</w:t>
      </w:r>
      <w:r>
        <w:rPr>
          <w:spacing w:val="-11"/>
        </w:rPr>
        <w:t> </w:t>
      </w:r>
      <w:r>
        <w:rPr/>
        <w:t>unit</w:t>
      </w:r>
      <w:r>
        <w:rPr>
          <w:spacing w:val="-9"/>
        </w:rPr>
        <w:t> </w:t>
      </w:r>
      <w:r>
        <w:rPr/>
        <w:t>sizes, was $1,223 per month, which represents an increase of 4.7 percent over 2024, when the average</w:t>
      </w:r>
      <w:r>
        <w:rPr>
          <w:spacing w:val="-5"/>
        </w:rPr>
        <w:t> </w:t>
      </w:r>
      <w:r>
        <w:rPr/>
        <w:t>monthly</w:t>
      </w:r>
      <w:r>
        <w:rPr>
          <w:spacing w:val="-4"/>
        </w:rPr>
        <w:t> </w:t>
      </w:r>
      <w:r>
        <w:rPr/>
        <w:t>bed</w:t>
      </w:r>
      <w:r>
        <w:rPr>
          <w:spacing w:val="-4"/>
        </w:rPr>
        <w:t> </w:t>
      </w:r>
      <w:r>
        <w:rPr/>
        <w:t>lease</w:t>
      </w:r>
      <w:r>
        <w:rPr>
          <w:spacing w:val="-5"/>
        </w:rPr>
        <w:t> </w:t>
      </w:r>
      <w:r>
        <w:rPr/>
        <w:t>rate</w:t>
      </w:r>
      <w:r>
        <w:rPr>
          <w:spacing w:val="-5"/>
        </w:rPr>
        <w:t> </w:t>
      </w:r>
      <w:r>
        <w:rPr/>
        <w:t>was</w:t>
      </w:r>
      <w:r>
        <w:rPr>
          <w:spacing w:val="-4"/>
        </w:rPr>
        <w:t> </w:t>
      </w:r>
      <w:r>
        <w:rPr/>
        <w:t>$1,168.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increase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partly</w:t>
      </w:r>
      <w:r>
        <w:rPr>
          <w:spacing w:val="-4"/>
        </w:rPr>
        <w:t> </w:t>
      </w:r>
      <w:r>
        <w:rPr/>
        <w:t>driven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mix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units reported in the survey, as well as by a slight decrease in the number of double-ups in four-bedroom</w:t>
      </w:r>
      <w:r>
        <w:rPr>
          <w:spacing w:val="-14"/>
        </w:rPr>
        <w:t> </w:t>
      </w:r>
      <w:r>
        <w:rPr/>
        <w:t>units.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typical</w:t>
      </w:r>
      <w:r>
        <w:rPr>
          <w:spacing w:val="-13"/>
        </w:rPr>
        <w:t> </w:t>
      </w:r>
      <w:r>
        <w:rPr/>
        <w:t>bed</w:t>
      </w:r>
      <w:r>
        <w:rPr>
          <w:spacing w:val="-14"/>
        </w:rPr>
        <w:t> </w:t>
      </w:r>
      <w:r>
        <w:rPr/>
        <w:t>lease</w:t>
      </w:r>
      <w:r>
        <w:rPr>
          <w:spacing w:val="-14"/>
        </w:rPr>
        <w:t> </w:t>
      </w:r>
      <w:r>
        <w:rPr/>
        <w:t>arrangements,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prevalence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double-occupancy</w:t>
      </w:r>
      <w:r>
        <w:rPr>
          <w:spacing w:val="-14"/>
        </w:rPr>
        <w:t> </w:t>
      </w:r>
      <w:r>
        <w:rPr/>
        <w:t>rooms results in a lower per-bed lease rate. Therefore, the slight decrease in double-occupancy rooms increases the average rental rate for bed leases. The average bed-lease rental rate reported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smaller</w:t>
      </w:r>
      <w:r>
        <w:rPr>
          <w:spacing w:val="-6"/>
        </w:rPr>
        <w:t> </w:t>
      </w:r>
      <w:r>
        <w:rPr/>
        <w:t>units</w:t>
      </w:r>
      <w:r>
        <w:rPr>
          <w:spacing w:val="-4"/>
        </w:rPr>
        <w:t> </w:t>
      </w:r>
      <w:r>
        <w:rPr/>
        <w:t>increased</w:t>
      </w:r>
      <w:r>
        <w:rPr>
          <w:spacing w:val="-5"/>
        </w:rPr>
        <w:t> </w:t>
      </w:r>
      <w:r>
        <w:rPr/>
        <w:t>more</w:t>
      </w:r>
      <w:r>
        <w:rPr>
          <w:spacing w:val="-6"/>
        </w:rPr>
        <w:t> </w:t>
      </w:r>
      <w:r>
        <w:rPr/>
        <w:t>substantially</w:t>
      </w:r>
      <w:r>
        <w:rPr>
          <w:spacing w:val="-5"/>
        </w:rPr>
        <w:t> </w:t>
      </w:r>
      <w:r>
        <w:rPr/>
        <w:t>compared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2024</w:t>
      </w:r>
      <w:r>
        <w:rPr>
          <w:spacing w:val="-6"/>
        </w:rPr>
        <w:t> </w:t>
      </w:r>
      <w:r>
        <w:rPr/>
        <w:t>survey</w:t>
      </w:r>
      <w:r>
        <w:rPr>
          <w:spacing w:val="-5"/>
        </w:rPr>
        <w:t> </w:t>
      </w:r>
      <w:r>
        <w:rPr/>
        <w:t>period, while</w:t>
      </w:r>
      <w:r>
        <w:rPr>
          <w:spacing w:val="-1"/>
        </w:rPr>
        <w:t> </w:t>
      </w:r>
      <w:r>
        <w:rPr/>
        <w:t>larger</w:t>
      </w:r>
      <w:r>
        <w:rPr>
          <w:spacing w:val="-1"/>
        </w:rPr>
        <w:t> </w:t>
      </w:r>
      <w:r>
        <w:rPr/>
        <w:t>units saw a more</w:t>
      </w:r>
      <w:r>
        <w:rPr>
          <w:spacing w:val="-1"/>
        </w:rPr>
        <w:t> </w:t>
      </w:r>
      <w:r>
        <w:rPr/>
        <w:t>modest</w:t>
      </w:r>
      <w:r>
        <w:rPr>
          <w:spacing w:val="-1"/>
        </w:rPr>
        <w:t> </w:t>
      </w:r>
      <w:r>
        <w:rPr/>
        <w:t>increase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average bed lease rental rate.</w:t>
      </w:r>
    </w:p>
    <w:p>
      <w:pPr>
        <w:pStyle w:val="BodyText"/>
        <w:spacing w:before="58"/>
      </w:pPr>
    </w:p>
    <w:p>
      <w:pPr>
        <w:spacing w:before="0"/>
        <w:ind w:left="287" w:right="0" w:firstLine="0"/>
        <w:jc w:val="left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1078230</wp:posOffset>
                </wp:positionH>
                <wp:positionV relativeFrom="paragraph">
                  <wp:posOffset>171183</wp:posOffset>
                </wp:positionV>
                <wp:extent cx="5616575" cy="635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56165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6575" h="6350">
                              <a:moveTo>
                                <a:pt x="561595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615952" y="6096"/>
                              </a:lnTo>
                              <a:lnTo>
                                <a:pt x="5615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900002pt;margin-top:13.479004pt;width:442.201pt;height:.48pt;mso-position-horizontal-relative:page;mso-position-vertical-relative:paragraph;z-index:-15723008;mso-wrap-distance-left:0;mso-wrap-distance-right:0" id="docshape55" filled="true" fillcolor="#000000" stroked="false">
                <v:fill type="solid"/>
                <w10:wrap type="topAndBottom"/>
              </v:rect>
            </w:pict>
          </mc:Fallback>
        </mc:AlternateContent>
      </w:r>
      <w:bookmarkStart w:name="Table 5:  Average Rental Rate for Bed Le" w:id="19"/>
      <w:bookmarkEnd w:id="19"/>
      <w:r>
        <w:rPr/>
      </w:r>
      <w:r>
        <w:rPr>
          <w:i/>
          <w:sz w:val="22"/>
        </w:rPr>
        <w:t>Table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5:</w:t>
      </w:r>
      <w:r>
        <w:rPr>
          <w:i/>
          <w:spacing w:val="43"/>
          <w:sz w:val="22"/>
        </w:rPr>
        <w:t> </w:t>
      </w:r>
      <w:r>
        <w:rPr>
          <w:i/>
          <w:sz w:val="22"/>
        </w:rPr>
        <w:t>Average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Rental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Rate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Bed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Leases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7"/>
          <w:sz w:val="22"/>
        </w:rPr>
        <w:t> </w:t>
      </w:r>
      <w:r>
        <w:rPr>
          <w:i/>
          <w:spacing w:val="-4"/>
          <w:sz w:val="22"/>
        </w:rPr>
        <w:t>Size</w:t>
      </w:r>
    </w:p>
    <w:p>
      <w:pPr>
        <w:pStyle w:val="BodyText"/>
        <w:spacing w:before="7"/>
        <w:rPr>
          <w:i/>
          <w:sz w:val="19"/>
        </w:rPr>
      </w:pPr>
    </w:p>
    <w:tbl>
      <w:tblPr>
        <w:tblW w:w="0" w:type="auto"/>
        <w:jc w:val="left"/>
        <w:tblInd w:w="2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0"/>
        <w:gridCol w:w="192"/>
        <w:gridCol w:w="1065"/>
        <w:gridCol w:w="192"/>
        <w:gridCol w:w="1033"/>
        <w:gridCol w:w="192"/>
        <w:gridCol w:w="1033"/>
        <w:gridCol w:w="3228"/>
      </w:tblGrid>
      <w:tr>
        <w:trPr>
          <w:trHeight w:val="192" w:hRule="atLeast"/>
        </w:trPr>
        <w:tc>
          <w:tcPr>
            <w:tcW w:w="2082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2" w:lineRule="exact"/>
              <w:ind w:left="3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2025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2" w:lineRule="exact"/>
              <w:ind w:left="34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2024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2" w:lineRule="exact"/>
              <w:ind w:left="3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2023</w:t>
            </w:r>
          </w:p>
        </w:tc>
        <w:tc>
          <w:tcPr>
            <w:tcW w:w="32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9" w:hRule="atLeast"/>
        </w:trPr>
        <w:tc>
          <w:tcPr>
            <w:tcW w:w="18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0"/>
              <w:rPr>
                <w:rFonts w:ascii="Franklin Gothic Medium"/>
                <w:i/>
                <w:sz w:val="16"/>
              </w:rPr>
            </w:pPr>
          </w:p>
          <w:p>
            <w:pPr>
              <w:pStyle w:val="TableParagraph"/>
              <w:spacing w:line="177" w:lineRule="exact" w:before="1"/>
              <w:ind w:left="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Unit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4"/>
                <w:sz w:val="16"/>
              </w:rPr>
              <w:t>Size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1" w:lineRule="exact"/>
              <w:ind w:left="198"/>
              <w:rPr>
                <w:sz w:val="16"/>
              </w:rPr>
            </w:pPr>
            <w:r>
              <w:rPr>
                <w:spacing w:val="-2"/>
                <w:sz w:val="16"/>
              </w:rPr>
              <w:t>Weighted</w:t>
            </w:r>
          </w:p>
          <w:p>
            <w:pPr>
              <w:pStyle w:val="TableParagraph"/>
              <w:spacing w:line="177" w:lineRule="exact" w:before="31"/>
              <w:ind w:left="121"/>
              <w:rPr>
                <w:sz w:val="16"/>
              </w:rPr>
            </w:pPr>
            <w:r>
              <w:rPr>
                <w:sz w:val="16"/>
              </w:rPr>
              <w:t>Average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1" w:lineRule="exact"/>
              <w:ind w:left="180"/>
              <w:rPr>
                <w:sz w:val="16"/>
              </w:rPr>
            </w:pPr>
            <w:r>
              <w:rPr>
                <w:spacing w:val="-2"/>
                <w:sz w:val="16"/>
              </w:rPr>
              <w:t>Weighted</w:t>
            </w:r>
          </w:p>
          <w:p>
            <w:pPr>
              <w:pStyle w:val="TableParagraph"/>
              <w:spacing w:line="177" w:lineRule="exact" w:before="31"/>
              <w:ind w:left="106"/>
              <w:rPr>
                <w:sz w:val="16"/>
              </w:rPr>
            </w:pPr>
            <w:r>
              <w:rPr>
                <w:sz w:val="16"/>
              </w:rPr>
              <w:t>Average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1" w:lineRule="exact"/>
              <w:ind w:left="180"/>
              <w:rPr>
                <w:sz w:val="16"/>
              </w:rPr>
            </w:pPr>
            <w:r>
              <w:rPr>
                <w:spacing w:val="-2"/>
                <w:sz w:val="16"/>
              </w:rPr>
              <w:t>Weighted</w:t>
            </w:r>
          </w:p>
          <w:p>
            <w:pPr>
              <w:pStyle w:val="TableParagraph"/>
              <w:spacing w:line="177" w:lineRule="exact" w:before="31"/>
              <w:ind w:left="106"/>
              <w:rPr>
                <w:sz w:val="16"/>
              </w:rPr>
            </w:pPr>
            <w:r>
              <w:rPr>
                <w:sz w:val="16"/>
              </w:rPr>
              <w:t>Average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32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9" w:hRule="atLeast"/>
        </w:trPr>
        <w:tc>
          <w:tcPr>
            <w:tcW w:w="18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0" w:lineRule="exact"/>
              <w:ind w:left="53"/>
              <w:rPr>
                <w:sz w:val="16"/>
              </w:rPr>
            </w:pPr>
            <w:r>
              <w:rPr>
                <w:sz w:val="16"/>
              </w:rPr>
              <w:t>Studio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Bedroom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(b)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0" w:lineRule="exact"/>
              <w:ind w:right="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$1,427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0" w:lineRule="exact"/>
              <w:ind w:right="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$1,250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0" w:lineRule="exact"/>
              <w:ind w:right="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$1,285</w:t>
            </w:r>
          </w:p>
        </w:tc>
        <w:tc>
          <w:tcPr>
            <w:tcW w:w="32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4" w:hRule="atLeast"/>
        </w:trPr>
        <w:tc>
          <w:tcPr>
            <w:tcW w:w="1890" w:type="dxa"/>
          </w:tcPr>
          <w:p>
            <w:pPr>
              <w:pStyle w:val="TableParagraph"/>
              <w:spacing w:line="182" w:lineRule="exact" w:before="12"/>
              <w:ind w:left="53"/>
              <w:rPr>
                <w:sz w:val="16"/>
              </w:rPr>
            </w:pPr>
            <w:r>
              <w:rPr>
                <w:sz w:val="16"/>
              </w:rPr>
              <w:t>2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spacing w:line="182" w:lineRule="exact" w:before="12"/>
              <w:ind w:right="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$1,224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spacing w:line="182" w:lineRule="exact" w:before="12"/>
              <w:ind w:right="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$1,222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spacing w:line="182" w:lineRule="exact" w:before="12"/>
              <w:ind w:right="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$1,139</w:t>
            </w:r>
          </w:p>
        </w:tc>
        <w:tc>
          <w:tcPr>
            <w:tcW w:w="32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" w:hRule="atLeast"/>
        </w:trPr>
        <w:tc>
          <w:tcPr>
            <w:tcW w:w="1890" w:type="dxa"/>
          </w:tcPr>
          <w:p>
            <w:pPr>
              <w:pStyle w:val="TableParagraph"/>
              <w:spacing w:line="182" w:lineRule="exact" w:before="12"/>
              <w:ind w:left="53"/>
              <w:rPr>
                <w:sz w:val="16"/>
              </w:rPr>
            </w:pPr>
            <w:r>
              <w:rPr>
                <w:sz w:val="16"/>
              </w:rPr>
              <w:t>3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spacing w:line="182" w:lineRule="exact" w:before="12"/>
              <w:ind w:right="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$1,148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spacing w:line="182" w:lineRule="exact" w:before="12"/>
              <w:ind w:right="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$1,102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>
            <w:pPr>
              <w:pStyle w:val="TableParagraph"/>
              <w:spacing w:line="182" w:lineRule="exact" w:before="12"/>
              <w:ind w:right="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$1,308</w:t>
            </w:r>
          </w:p>
        </w:tc>
        <w:tc>
          <w:tcPr>
            <w:tcW w:w="32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8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7" w:lineRule="exact" w:before="12"/>
              <w:ind w:left="53"/>
              <w:rPr>
                <w:sz w:val="16"/>
              </w:rPr>
            </w:pPr>
            <w:r>
              <w:rPr>
                <w:sz w:val="16"/>
              </w:rPr>
              <w:t>4+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7" w:lineRule="exact" w:before="12"/>
              <w:ind w:right="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$1,141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7" w:lineRule="exact" w:before="12"/>
              <w:ind w:right="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$1,106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7" w:lineRule="exact" w:before="12"/>
              <w:ind w:right="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$1,137</w:t>
            </w:r>
          </w:p>
        </w:tc>
        <w:tc>
          <w:tcPr>
            <w:tcW w:w="32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78" w:hRule="atLeast"/>
        </w:trPr>
        <w:tc>
          <w:tcPr>
            <w:tcW w:w="1890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181" w:lineRule="exact"/>
              <w:ind w:left="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Total,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All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Sizes</w:t>
            </w:r>
          </w:p>
        </w:tc>
        <w:tc>
          <w:tcPr>
            <w:tcW w:w="19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5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181" w:lineRule="exact"/>
              <w:ind w:right="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$1,223</w:t>
            </w:r>
          </w:p>
        </w:tc>
        <w:tc>
          <w:tcPr>
            <w:tcW w:w="19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3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181" w:lineRule="exact"/>
              <w:ind w:right="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$1,168</w:t>
            </w:r>
          </w:p>
        </w:tc>
        <w:tc>
          <w:tcPr>
            <w:tcW w:w="19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3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181" w:lineRule="exact"/>
              <w:ind w:right="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$1,176</w:t>
            </w:r>
          </w:p>
        </w:tc>
        <w:tc>
          <w:tcPr>
            <w:tcW w:w="322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184" w:lineRule="exact" w:before="22"/>
        <w:ind w:left="288" w:right="0" w:firstLine="0"/>
        <w:jc w:val="left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Notes:</w:t>
      </w: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40" w:lineRule="auto" w:before="0" w:after="0"/>
        <w:ind w:left="288" w:right="393" w:firstLine="0"/>
        <w:jc w:val="left"/>
        <w:rPr>
          <w:sz w:val="16"/>
        </w:rPr>
      </w:pPr>
      <w:r>
        <w:rPr>
          <w:sz w:val="16"/>
        </w:rPr>
        <w:t>Figures</w:t>
      </w:r>
      <w:r>
        <w:rPr>
          <w:spacing w:val="-2"/>
          <w:sz w:val="16"/>
        </w:rPr>
        <w:t> </w:t>
      </w:r>
      <w:r>
        <w:rPr>
          <w:sz w:val="16"/>
        </w:rPr>
        <w:t>represent</w:t>
      </w:r>
      <w:r>
        <w:rPr>
          <w:spacing w:val="-3"/>
          <w:sz w:val="16"/>
        </w:rPr>
        <w:t> </w:t>
      </w:r>
      <w:r>
        <w:rPr>
          <w:sz w:val="16"/>
        </w:rPr>
        <w:t>weighted</w:t>
      </w:r>
      <w:r>
        <w:rPr>
          <w:spacing w:val="-3"/>
          <w:sz w:val="16"/>
        </w:rPr>
        <w:t> </w:t>
      </w:r>
      <w:r>
        <w:rPr>
          <w:sz w:val="16"/>
        </w:rPr>
        <w:t>average</w:t>
      </w:r>
      <w:r>
        <w:rPr>
          <w:spacing w:val="-3"/>
          <w:sz w:val="16"/>
        </w:rPr>
        <w:t> </w:t>
      </w:r>
      <w:r>
        <w:rPr>
          <w:sz w:val="16"/>
        </w:rPr>
        <w:t>rental</w:t>
      </w:r>
      <w:r>
        <w:rPr>
          <w:spacing w:val="-2"/>
          <w:sz w:val="16"/>
        </w:rPr>
        <w:t> </w:t>
      </w:r>
      <w:r>
        <w:rPr>
          <w:sz w:val="16"/>
        </w:rPr>
        <w:t>rates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include</w:t>
      </w:r>
      <w:r>
        <w:rPr>
          <w:spacing w:val="-3"/>
          <w:sz w:val="16"/>
        </w:rPr>
        <w:t> </w:t>
      </w:r>
      <w:r>
        <w:rPr>
          <w:sz w:val="16"/>
        </w:rPr>
        <w:t>only</w:t>
      </w:r>
      <w:r>
        <w:rPr>
          <w:spacing w:val="-2"/>
          <w:sz w:val="16"/>
        </w:rPr>
        <w:t> </w:t>
      </w:r>
      <w:r>
        <w:rPr>
          <w:sz w:val="16"/>
        </w:rPr>
        <w:t>those</w:t>
      </w:r>
      <w:r>
        <w:rPr>
          <w:spacing w:val="-3"/>
          <w:sz w:val="16"/>
        </w:rPr>
        <w:t> </w:t>
      </w:r>
      <w:r>
        <w:rPr>
          <w:sz w:val="16"/>
        </w:rPr>
        <w:t>complexes</w:t>
      </w:r>
      <w:r>
        <w:rPr>
          <w:spacing w:val="-2"/>
          <w:sz w:val="16"/>
        </w:rPr>
        <w:t> </w:t>
      </w:r>
      <w:r>
        <w:rPr>
          <w:sz w:val="16"/>
        </w:rPr>
        <w:t>where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respondent</w:t>
      </w:r>
      <w:r>
        <w:rPr>
          <w:spacing w:val="-3"/>
          <w:sz w:val="16"/>
        </w:rPr>
        <w:t> </w:t>
      </w:r>
      <w:r>
        <w:rPr>
          <w:sz w:val="16"/>
        </w:rPr>
        <w:t>identified</w:t>
      </w:r>
      <w:r>
        <w:rPr>
          <w:spacing w:val="-3"/>
          <w:sz w:val="16"/>
        </w:rPr>
        <w:t> </w:t>
      </w:r>
      <w:r>
        <w:rPr>
          <w:sz w:val="16"/>
        </w:rPr>
        <w:t>the number of units by type, the number of beds per unit, and associated rental rates.</w:t>
      </w:r>
    </w:p>
    <w:p>
      <w:pPr>
        <w:pStyle w:val="ListParagraph"/>
        <w:numPr>
          <w:ilvl w:val="0"/>
          <w:numId w:val="5"/>
        </w:numPr>
        <w:tabs>
          <w:tab w:pos="569" w:val="left" w:leader="none"/>
        </w:tabs>
        <w:spacing w:line="240" w:lineRule="auto" w:before="0" w:after="0"/>
        <w:ind w:left="288" w:right="470" w:firstLine="0"/>
        <w:jc w:val="left"/>
        <w:rPr>
          <w:sz w:val="16"/>
        </w:rPr>
      </w:pPr>
      <w:r>
        <w:rPr>
          <w:sz w:val="16"/>
        </w:rPr>
        <w:t>Studio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one-bedroom</w:t>
      </w:r>
      <w:r>
        <w:rPr>
          <w:spacing w:val="-2"/>
          <w:sz w:val="16"/>
        </w:rPr>
        <w:t> </w:t>
      </w:r>
      <w:r>
        <w:rPr>
          <w:sz w:val="16"/>
        </w:rPr>
        <w:t>bed-leased</w:t>
      </w:r>
      <w:r>
        <w:rPr>
          <w:spacing w:val="-3"/>
          <w:sz w:val="16"/>
        </w:rPr>
        <w:t> </w:t>
      </w:r>
      <w:r>
        <w:rPr>
          <w:sz w:val="16"/>
        </w:rPr>
        <w:t>apartments</w:t>
      </w:r>
      <w:r>
        <w:rPr>
          <w:spacing w:val="-2"/>
          <w:sz w:val="16"/>
        </w:rPr>
        <w:t> </w:t>
      </w:r>
      <w:r>
        <w:rPr>
          <w:sz w:val="16"/>
        </w:rPr>
        <w:t>are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complexes</w:t>
      </w:r>
      <w:r>
        <w:rPr>
          <w:spacing w:val="-2"/>
          <w:sz w:val="16"/>
        </w:rPr>
        <w:t> </w:t>
      </w:r>
      <w:r>
        <w:rPr>
          <w:sz w:val="16"/>
        </w:rPr>
        <w:t>that</w:t>
      </w:r>
      <w:r>
        <w:rPr>
          <w:spacing w:val="-3"/>
          <w:sz w:val="16"/>
        </w:rPr>
        <w:t> </w:t>
      </w:r>
      <w:r>
        <w:rPr>
          <w:sz w:val="16"/>
        </w:rPr>
        <w:t>only</w:t>
      </w:r>
      <w:r>
        <w:rPr>
          <w:spacing w:val="-2"/>
          <w:sz w:val="16"/>
        </w:rPr>
        <w:t> </w:t>
      </w:r>
      <w:r>
        <w:rPr>
          <w:sz w:val="16"/>
        </w:rPr>
        <w:t>rent</w:t>
      </w:r>
      <w:r>
        <w:rPr>
          <w:spacing w:val="-1"/>
          <w:sz w:val="16"/>
        </w:rPr>
        <w:t> </w:t>
      </w:r>
      <w:r>
        <w:rPr>
          <w:sz w:val="16"/>
        </w:rPr>
        <w:t>units</w:t>
      </w:r>
      <w:r>
        <w:rPr>
          <w:spacing w:val="-2"/>
          <w:sz w:val="16"/>
        </w:rPr>
        <w:t> </w:t>
      </w:r>
      <w:r>
        <w:rPr>
          <w:sz w:val="16"/>
        </w:rPr>
        <w:t>under</w:t>
      </w:r>
      <w:r>
        <w:rPr>
          <w:spacing w:val="-3"/>
          <w:sz w:val="16"/>
        </w:rPr>
        <w:t> </w:t>
      </w:r>
      <w:r>
        <w:rPr>
          <w:sz w:val="16"/>
        </w:rPr>
        <w:t>bed</w:t>
      </w:r>
      <w:r>
        <w:rPr>
          <w:spacing w:val="-3"/>
          <w:sz w:val="16"/>
        </w:rPr>
        <w:t> </w:t>
      </w:r>
      <w:r>
        <w:rPr>
          <w:sz w:val="16"/>
        </w:rPr>
        <w:t>lease</w:t>
      </w:r>
      <w:r>
        <w:rPr>
          <w:spacing w:val="-3"/>
          <w:sz w:val="16"/>
        </w:rPr>
        <w:t> </w:t>
      </w:r>
      <w:r>
        <w:rPr>
          <w:sz w:val="16"/>
        </w:rPr>
        <w:t>arrangements. These complexes offer a greater set of amenities, compared to the average unit-leased complex, and are priced as such.</w:t>
      </w:r>
    </w:p>
    <w:p>
      <w:pPr>
        <w:pStyle w:val="BodyText"/>
        <w:rPr>
          <w:rFonts w:ascii="Arial MT"/>
          <w:sz w:val="16"/>
        </w:rPr>
      </w:pPr>
    </w:p>
    <w:p>
      <w:pPr>
        <w:spacing w:before="0"/>
        <w:ind w:left="288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Source:</w:t>
      </w:r>
      <w:r>
        <w:rPr>
          <w:rFonts w:ascii="Arial MT"/>
          <w:spacing w:val="36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5"/>
          <w:sz w:val="16"/>
        </w:rPr>
        <w:t> </w:t>
      </w:r>
      <w:r>
        <w:rPr>
          <w:rFonts w:ascii="Arial MT"/>
          <w:spacing w:val="-4"/>
          <w:sz w:val="16"/>
        </w:rPr>
        <w:t>2025.</w:t>
      </w:r>
    </w:p>
    <w:p>
      <w:pPr>
        <w:spacing w:after="0"/>
        <w:jc w:val="left"/>
        <w:rPr>
          <w:rFonts w:ascii="Arial MT"/>
          <w:sz w:val="16"/>
        </w:rPr>
        <w:sectPr>
          <w:pgSz w:w="12240" w:h="15840"/>
          <w:pgMar w:header="0" w:footer="794" w:top="1700" w:bottom="980" w:left="1440" w:right="1440"/>
        </w:sectPr>
      </w:pPr>
    </w:p>
    <w:p>
      <w:pPr>
        <w:pStyle w:val="BodyText"/>
        <w:spacing w:line="288" w:lineRule="auto" w:before="78"/>
        <w:ind w:left="288" w:right="288"/>
      </w:pPr>
      <w:r>
        <w:rPr/>
        <w:t>It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also</w:t>
      </w:r>
      <w:r>
        <w:rPr>
          <w:spacing w:val="-4"/>
        </w:rPr>
        <w:t> </w:t>
      </w:r>
      <w:r>
        <w:rPr/>
        <w:t>worth</w:t>
      </w:r>
      <w:r>
        <w:rPr>
          <w:spacing w:val="-4"/>
        </w:rPr>
        <w:t> </w:t>
      </w:r>
      <w:r>
        <w:rPr/>
        <w:t>noting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many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new</w:t>
      </w:r>
      <w:r>
        <w:rPr>
          <w:spacing w:val="-4"/>
        </w:rPr>
        <w:t> </w:t>
      </w:r>
      <w:r>
        <w:rPr/>
        <w:t>bed-leased</w:t>
      </w:r>
      <w:r>
        <w:rPr>
          <w:spacing w:val="-4"/>
        </w:rPr>
        <w:t> </w:t>
      </w:r>
      <w:r>
        <w:rPr/>
        <w:t>apartments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were</w:t>
      </w:r>
      <w:r>
        <w:rPr>
          <w:spacing w:val="-3"/>
        </w:rPr>
        <w:t> </w:t>
      </w:r>
      <w:r>
        <w:rPr/>
        <w:t>built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past few</w:t>
      </w:r>
      <w:r>
        <w:rPr>
          <w:spacing w:val="-10"/>
        </w:rPr>
        <w:t> </w:t>
      </w:r>
      <w:r>
        <w:rPr/>
        <w:t>years</w:t>
      </w:r>
      <w:r>
        <w:rPr>
          <w:spacing w:val="-10"/>
        </w:rPr>
        <w:t> </w:t>
      </w:r>
      <w:r>
        <w:rPr/>
        <w:t>are</w:t>
      </w:r>
      <w:r>
        <w:rPr>
          <w:spacing w:val="-11"/>
        </w:rPr>
        <w:t> </w:t>
      </w:r>
      <w:r>
        <w:rPr/>
        <w:t>located</w:t>
      </w:r>
      <w:r>
        <w:rPr>
          <w:spacing w:val="-10"/>
        </w:rPr>
        <w:t> </w:t>
      </w:r>
      <w:r>
        <w:rPr/>
        <w:t>on</w:t>
      </w:r>
      <w:r>
        <w:rPr>
          <w:spacing w:val="-9"/>
        </w:rPr>
        <w:t> </w:t>
      </w:r>
      <w:r>
        <w:rPr/>
        <w:t>UC</w:t>
      </w:r>
      <w:r>
        <w:rPr>
          <w:spacing w:val="-10"/>
        </w:rPr>
        <w:t> </w:t>
      </w:r>
      <w:r>
        <w:rPr/>
        <w:t>Davis</w:t>
      </w:r>
      <w:r>
        <w:rPr>
          <w:spacing w:val="-10"/>
        </w:rPr>
        <w:t> </w:t>
      </w:r>
      <w:r>
        <w:rPr/>
        <w:t>land.</w:t>
      </w:r>
      <w:r>
        <w:rPr>
          <w:spacing w:val="-10"/>
        </w:rPr>
        <w:t> </w:t>
      </w:r>
      <w:r>
        <w:rPr/>
        <w:t>Those</w:t>
      </w:r>
      <w:r>
        <w:rPr>
          <w:spacing w:val="-11"/>
        </w:rPr>
        <w:t> </w:t>
      </w:r>
      <w:r>
        <w:rPr/>
        <w:t>properties</w:t>
      </w:r>
      <w:r>
        <w:rPr>
          <w:spacing w:val="-10"/>
        </w:rPr>
        <w:t> </w:t>
      </w:r>
      <w:r>
        <w:rPr/>
        <w:t>are</w:t>
      </w:r>
      <w:r>
        <w:rPr>
          <w:spacing w:val="-11"/>
        </w:rPr>
        <w:t> </w:t>
      </w:r>
      <w:r>
        <w:rPr/>
        <w:t>subject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agreements</w:t>
      </w:r>
      <w:r>
        <w:rPr>
          <w:spacing w:val="-9"/>
        </w:rPr>
        <w:t> </w:t>
      </w:r>
      <w:r>
        <w:rPr/>
        <w:t>that</w:t>
      </w:r>
      <w:r>
        <w:rPr>
          <w:spacing w:val="-11"/>
        </w:rPr>
        <w:t> </w:t>
      </w:r>
      <w:r>
        <w:rPr/>
        <w:t>result in</w:t>
      </w:r>
      <w:r>
        <w:rPr>
          <w:spacing w:val="-3"/>
        </w:rPr>
        <w:t> </w:t>
      </w:r>
      <w:r>
        <w:rPr/>
        <w:t>lower</w:t>
      </w:r>
      <w:r>
        <w:rPr>
          <w:spacing w:val="-1"/>
        </w:rPr>
        <w:t> </w:t>
      </w:r>
      <w:r>
        <w:rPr/>
        <w:t>rents</w:t>
      </w:r>
      <w:r>
        <w:rPr>
          <w:spacing w:val="-2"/>
        </w:rPr>
        <w:t> </w:t>
      </w:r>
      <w:r>
        <w:rPr/>
        <w:t>relative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similar</w:t>
      </w:r>
      <w:r>
        <w:rPr>
          <w:spacing w:val="-3"/>
        </w:rPr>
        <w:t> </w:t>
      </w:r>
      <w:r>
        <w:rPr/>
        <w:t>privately</w:t>
      </w:r>
      <w:r>
        <w:rPr>
          <w:spacing w:val="-2"/>
        </w:rPr>
        <w:t> </w:t>
      </w:r>
      <w:r>
        <w:rPr/>
        <w:t>owned</w:t>
      </w:r>
      <w:r>
        <w:rPr>
          <w:spacing w:val="-2"/>
        </w:rPr>
        <w:t> </w:t>
      </w:r>
      <w:r>
        <w:rPr/>
        <w:t>developments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Davis.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data</w:t>
      </w:r>
      <w:r>
        <w:rPr>
          <w:spacing w:val="-2"/>
        </w:rPr>
        <w:t> </w:t>
      </w:r>
      <w:r>
        <w:rPr/>
        <w:t>reported</w:t>
      </w:r>
      <w:r>
        <w:rPr>
          <w:spacing w:val="-2"/>
        </w:rPr>
        <w:t> </w:t>
      </w:r>
      <w:r>
        <w:rPr/>
        <w:t>in Table 5 include these lower-priced units because although the units are rented at somewhat below</w:t>
      </w:r>
      <w:r>
        <w:rPr>
          <w:spacing w:val="-1"/>
        </w:rPr>
        <w:t> </w:t>
      </w:r>
      <w:r>
        <w:rPr/>
        <w:t>market</w:t>
      </w:r>
      <w:r>
        <w:rPr>
          <w:spacing w:val="-2"/>
        </w:rPr>
        <w:t> </w:t>
      </w:r>
      <w:r>
        <w:rPr/>
        <w:t>rate rents,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income</w:t>
      </w:r>
      <w:r>
        <w:rPr>
          <w:spacing w:val="-2"/>
        </w:rPr>
        <w:t> </w:t>
      </w:r>
      <w:r>
        <w:rPr/>
        <w:t>restricted,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 units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available</w:t>
      </w:r>
      <w:r>
        <w:rPr>
          <w:spacing w:val="-2"/>
        </w:rPr>
        <w:t> </w:t>
      </w:r>
      <w:r>
        <w:rPr/>
        <w:t>for occupancy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UC</w:t>
      </w:r>
      <w:r>
        <w:rPr>
          <w:spacing w:val="-5"/>
        </w:rPr>
        <w:t> </w:t>
      </w:r>
      <w:r>
        <w:rPr/>
        <w:t>Davis</w:t>
      </w:r>
      <w:r>
        <w:rPr>
          <w:spacing w:val="-5"/>
        </w:rPr>
        <w:t> </w:t>
      </w:r>
      <w:r>
        <w:rPr/>
        <w:t>students.</w:t>
      </w:r>
      <w:r>
        <w:rPr>
          <w:spacing w:val="-5"/>
        </w:rPr>
        <w:t> </w:t>
      </w:r>
      <w:r>
        <w:rPr/>
        <w:t>Therefore,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data</w:t>
      </w:r>
      <w:r>
        <w:rPr>
          <w:spacing w:val="-5"/>
        </w:rPr>
        <w:t> </w:t>
      </w:r>
      <w:r>
        <w:rPr/>
        <w:t>presented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Table</w:t>
      </w:r>
      <w:r>
        <w:rPr>
          <w:spacing w:val="-6"/>
        </w:rPr>
        <w:t> </w:t>
      </w:r>
      <w:r>
        <w:rPr/>
        <w:t>5</w:t>
      </w:r>
      <w:r>
        <w:rPr>
          <w:spacing w:val="-5"/>
        </w:rPr>
        <w:t> </w:t>
      </w:r>
      <w:r>
        <w:rPr/>
        <w:t>reports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average rental</w:t>
      </w:r>
      <w:r>
        <w:rPr>
          <w:spacing w:val="-1"/>
        </w:rPr>
        <w:t> </w:t>
      </w:r>
      <w:r>
        <w:rPr/>
        <w:t>rate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UC</w:t>
      </w:r>
      <w:r>
        <w:rPr>
          <w:spacing w:val="-1"/>
        </w:rPr>
        <w:t> </w:t>
      </w:r>
      <w:r>
        <w:rPr/>
        <w:t>Davis</w:t>
      </w:r>
      <w:r>
        <w:rPr>
          <w:spacing w:val="-1"/>
        </w:rPr>
        <w:t> </w:t>
      </w:r>
      <w:r>
        <w:rPr/>
        <w:t>students</w:t>
      </w:r>
      <w:r>
        <w:rPr>
          <w:spacing w:val="-1"/>
        </w:rPr>
        <w:t> </w:t>
      </w:r>
      <w:r>
        <w:rPr/>
        <w:t>may reasonably</w:t>
      </w:r>
      <w:r>
        <w:rPr>
          <w:spacing w:val="-1"/>
        </w:rPr>
        <w:t> </w:t>
      </w:r>
      <w:r>
        <w:rPr/>
        <w:t>expect</w:t>
      </w:r>
      <w:r>
        <w:rPr>
          <w:spacing w:val="-2"/>
        </w:rPr>
        <w:t> </w:t>
      </w:r>
      <w:r>
        <w:rPr/>
        <w:t>to encounter</w:t>
      </w:r>
      <w:r>
        <w:rPr>
          <w:spacing w:val="-2"/>
        </w:rPr>
        <w:t> </w:t>
      </w:r>
      <w:r>
        <w:rPr/>
        <w:t>in the market.</w:t>
      </w:r>
    </w:p>
    <w:p>
      <w:pPr>
        <w:pStyle w:val="BodyText"/>
        <w:spacing w:before="46"/>
      </w:pPr>
    </w:p>
    <w:p>
      <w:pPr>
        <w:pStyle w:val="Heading1"/>
      </w:pPr>
      <w:bookmarkStart w:name="Blended Rental Rate" w:id="20"/>
      <w:bookmarkEnd w:id="20"/>
      <w:r>
        <w:rPr>
          <w:i w:val="0"/>
        </w:rPr>
      </w:r>
      <w:r>
        <w:rPr/>
        <w:t>Blended</w:t>
      </w:r>
      <w:r>
        <w:rPr>
          <w:spacing w:val="33"/>
        </w:rPr>
        <w:t> </w:t>
      </w:r>
      <w:r>
        <w:rPr/>
        <w:t>Rental</w:t>
      </w:r>
      <w:r>
        <w:rPr>
          <w:spacing w:val="31"/>
        </w:rPr>
        <w:t> </w:t>
      </w:r>
      <w:r>
        <w:rPr>
          <w:spacing w:val="-4"/>
        </w:rPr>
        <w:t>Rate</w:t>
      </w:r>
    </w:p>
    <w:p>
      <w:pPr>
        <w:pStyle w:val="BodyText"/>
        <w:spacing w:line="288" w:lineRule="auto" w:before="49"/>
        <w:ind w:left="287" w:right="288"/>
      </w:pPr>
      <w:r>
        <w:rPr/>
        <w:t>To</w:t>
      </w:r>
      <w:r>
        <w:rPr>
          <w:spacing w:val="-2"/>
        </w:rPr>
        <w:t> </w:t>
      </w:r>
      <w:r>
        <w:rPr/>
        <w:t>estimate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average</w:t>
      </w:r>
      <w:r>
        <w:rPr>
          <w:spacing w:val="-3"/>
        </w:rPr>
        <w:t> </w:t>
      </w:r>
      <w:r>
        <w:rPr/>
        <w:t>citywide</w:t>
      </w:r>
      <w:r>
        <w:rPr>
          <w:spacing w:val="-3"/>
        </w:rPr>
        <w:t> </w:t>
      </w:r>
      <w:r>
        <w:rPr/>
        <w:t>rental</w:t>
      </w:r>
      <w:r>
        <w:rPr>
          <w:spacing w:val="-2"/>
        </w:rPr>
        <w:t> </w:t>
      </w:r>
      <w:r>
        <w:rPr/>
        <w:t>rate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all</w:t>
      </w:r>
      <w:r>
        <w:rPr>
          <w:spacing w:val="-1"/>
        </w:rPr>
        <w:t> </w:t>
      </w:r>
      <w:r>
        <w:rPr/>
        <w:t>units,</w:t>
      </w:r>
      <w:r>
        <w:rPr>
          <w:spacing w:val="-2"/>
        </w:rPr>
        <w:t> </w:t>
      </w:r>
      <w:r>
        <w:rPr/>
        <w:t>regardless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lease</w:t>
      </w:r>
      <w:r>
        <w:rPr>
          <w:spacing w:val="-1"/>
        </w:rPr>
        <w:t> </w:t>
      </w:r>
      <w:r>
        <w:rPr/>
        <w:t>type,</w:t>
      </w:r>
      <w:r>
        <w:rPr>
          <w:spacing w:val="-2"/>
        </w:rPr>
        <w:t> </w:t>
      </w:r>
      <w:r>
        <w:rPr/>
        <w:t>BAE combined the</w:t>
      </w:r>
      <w:r>
        <w:rPr>
          <w:spacing w:val="-1"/>
        </w:rPr>
        <w:t> </w:t>
      </w:r>
      <w:r>
        <w:rPr/>
        <w:t>rental rates for</w:t>
      </w:r>
      <w:r>
        <w:rPr>
          <w:spacing w:val="-1"/>
        </w:rPr>
        <w:t> </w:t>
      </w:r>
      <w:r>
        <w:rPr/>
        <w:t>unit</w:t>
      </w:r>
      <w:r>
        <w:rPr>
          <w:spacing w:val="-1"/>
        </w:rPr>
        <w:t> </w:t>
      </w:r>
      <w:r>
        <w:rPr/>
        <w:t>leases and calculated the</w:t>
      </w:r>
      <w:r>
        <w:rPr>
          <w:spacing w:val="-1"/>
        </w:rPr>
        <w:t> </w:t>
      </w:r>
      <w:r>
        <w:rPr/>
        <w:t>unit</w:t>
      </w:r>
      <w:r>
        <w:rPr>
          <w:spacing w:val="-1"/>
        </w:rPr>
        <w:t> </w:t>
      </w:r>
      <w:r>
        <w:rPr/>
        <w:t>equivalent</w:t>
      </w:r>
      <w:r>
        <w:rPr>
          <w:spacing w:val="-1"/>
        </w:rPr>
        <w:t> </w:t>
      </w:r>
      <w:r>
        <w:rPr/>
        <w:t>rental rate</w:t>
      </w:r>
      <w:r>
        <w:rPr>
          <w:spacing w:val="-1"/>
        </w:rPr>
        <w:t> </w:t>
      </w:r>
      <w:r>
        <w:rPr/>
        <w:t>for</w:t>
      </w:r>
      <w:r>
        <w:rPr/>
        <w:t> units</w:t>
      </w:r>
      <w:r>
        <w:rPr>
          <w:spacing w:val="-9"/>
        </w:rPr>
        <w:t> </w:t>
      </w:r>
      <w:r>
        <w:rPr/>
        <w:t>rented</w:t>
      </w:r>
      <w:r>
        <w:rPr>
          <w:spacing w:val="-9"/>
        </w:rPr>
        <w:t> </w:t>
      </w:r>
      <w:r>
        <w:rPr/>
        <w:t>under</w:t>
      </w:r>
      <w:r>
        <w:rPr>
          <w:spacing w:val="-9"/>
        </w:rPr>
        <w:t> </w:t>
      </w:r>
      <w:r>
        <w:rPr/>
        <w:t>bed</w:t>
      </w:r>
      <w:r>
        <w:rPr>
          <w:spacing w:val="-9"/>
        </w:rPr>
        <w:t> </w:t>
      </w:r>
      <w:r>
        <w:rPr/>
        <w:t>lease</w:t>
      </w:r>
      <w:r>
        <w:rPr>
          <w:spacing w:val="-10"/>
        </w:rPr>
        <w:t> </w:t>
      </w:r>
      <w:r>
        <w:rPr/>
        <w:t>arrangements.</w:t>
      </w:r>
      <w:hyperlink w:history="true" w:anchor="_bookmark6">
        <w:r>
          <w:rPr>
            <w:position w:val="5"/>
            <w:sz w:val="14"/>
          </w:rPr>
          <w:t>7</w:t>
        </w:r>
      </w:hyperlink>
      <w:r>
        <w:rPr>
          <w:spacing w:val="57"/>
          <w:position w:val="5"/>
          <w:sz w:val="14"/>
        </w:rPr>
        <w:t> </w:t>
      </w:r>
      <w:r>
        <w:rPr/>
        <w:t>As</w:t>
      </w:r>
      <w:r>
        <w:rPr>
          <w:spacing w:val="-9"/>
        </w:rPr>
        <w:t> </w:t>
      </w:r>
      <w:r>
        <w:rPr/>
        <w:t>reported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Table</w:t>
      </w:r>
      <w:r>
        <w:rPr>
          <w:spacing w:val="-10"/>
        </w:rPr>
        <w:t> </w:t>
      </w:r>
      <w:r>
        <w:rPr/>
        <w:t>6</w:t>
      </w:r>
      <w:r>
        <w:rPr>
          <w:spacing w:val="-9"/>
        </w:rPr>
        <w:t> </w:t>
      </w:r>
      <w:r>
        <w:rPr/>
        <w:t>below,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unit</w:t>
      </w:r>
      <w:r>
        <w:rPr>
          <w:spacing w:val="-9"/>
        </w:rPr>
        <w:t> </w:t>
      </w:r>
      <w:r>
        <w:rPr/>
        <w:t>equivalent bed lease rental rates are</w:t>
      </w:r>
      <w:r>
        <w:rPr>
          <w:spacing w:val="-1"/>
        </w:rPr>
        <w:t> </w:t>
      </w:r>
      <w:r>
        <w:rPr/>
        <w:t>generally higher</w:t>
      </w:r>
      <w:r>
        <w:rPr>
          <w:spacing w:val="-1"/>
        </w:rPr>
        <w:t> </w:t>
      </w:r>
      <w:r>
        <w:rPr/>
        <w:t>than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average</w:t>
      </w:r>
      <w:r>
        <w:rPr>
          <w:spacing w:val="-1"/>
        </w:rPr>
        <w:t> </w:t>
      </w:r>
      <w:r>
        <w:rPr/>
        <w:t>unit</w:t>
      </w:r>
      <w:r>
        <w:rPr>
          <w:spacing w:val="-1"/>
        </w:rPr>
        <w:t> </w:t>
      </w:r>
      <w:r>
        <w:rPr/>
        <w:t>lease rents (e.g., ranging from 0.1</w:t>
      </w:r>
      <w:r>
        <w:rPr>
          <w:spacing w:val="40"/>
        </w:rPr>
        <w:t> </w:t>
      </w:r>
      <w:r>
        <w:rPr/>
        <w:t>to 17</w:t>
      </w:r>
      <w:r>
        <w:rPr>
          <w:spacing w:val="-1"/>
        </w:rPr>
        <w:t> </w:t>
      </w:r>
      <w:r>
        <w:rPr/>
        <w:t>percent</w:t>
      </w:r>
      <w:r>
        <w:rPr>
          <w:spacing w:val="-1"/>
        </w:rPr>
        <w:t> </w:t>
      </w:r>
      <w:r>
        <w:rPr/>
        <w:t>higher</w:t>
      </w:r>
      <w:r>
        <w:rPr>
          <w:spacing w:val="-1"/>
        </w:rPr>
        <w:t> </w:t>
      </w:r>
      <w:r>
        <w:rPr/>
        <w:t>depending 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unit</w:t>
      </w:r>
      <w:r>
        <w:rPr>
          <w:spacing w:val="-1"/>
        </w:rPr>
        <w:t> </w:t>
      </w:r>
      <w:r>
        <w:rPr/>
        <w:t>type). Across all unit</w:t>
      </w:r>
      <w:r>
        <w:rPr>
          <w:spacing w:val="-1"/>
        </w:rPr>
        <w:t> </w:t>
      </w:r>
      <w:r>
        <w:rPr/>
        <w:t>types, the</w:t>
      </w:r>
      <w:r>
        <w:rPr>
          <w:spacing w:val="-1"/>
        </w:rPr>
        <w:t> </w:t>
      </w:r>
      <w:r>
        <w:rPr/>
        <w:t>average rental rate is $2,711 per unit. This represents a 1.8 percent decrease over the 2024 blended average rental rate of $2,762 per month. As reported above, this is the first decrease in the blended rental rate observed in more than a decade.</w:t>
      </w:r>
    </w:p>
    <w:p>
      <w:pPr>
        <w:pStyle w:val="BodyText"/>
        <w:spacing w:before="55"/>
      </w:pPr>
    </w:p>
    <w:p>
      <w:pPr>
        <w:spacing w:before="0"/>
        <w:ind w:left="287" w:right="0" w:firstLine="0"/>
        <w:jc w:val="left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1078230</wp:posOffset>
                </wp:positionH>
                <wp:positionV relativeFrom="paragraph">
                  <wp:posOffset>171282</wp:posOffset>
                </wp:positionV>
                <wp:extent cx="5616575" cy="635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56165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6575" h="6350">
                              <a:moveTo>
                                <a:pt x="5615952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615952" y="6108"/>
                              </a:lnTo>
                              <a:lnTo>
                                <a:pt x="5615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900002pt;margin-top:13.486832pt;width:442.201pt;height:.481pt;mso-position-horizontal-relative:page;mso-position-vertical-relative:paragraph;z-index:-15721984;mso-wrap-distance-left:0;mso-wrap-distance-right:0" id="docshape56" filled="true" fillcolor="#000000" stroked="false">
                <v:fill type="solid"/>
                <w10:wrap type="topAndBottom"/>
              </v:rect>
            </w:pict>
          </mc:Fallback>
        </mc:AlternateContent>
      </w:r>
      <w:bookmarkStart w:name="Table 6:  Blended Rental Rate Summary" w:id="21"/>
      <w:bookmarkEnd w:id="21"/>
      <w:r>
        <w:rPr/>
      </w:r>
      <w:r>
        <w:rPr>
          <w:i/>
          <w:sz w:val="22"/>
        </w:rPr>
        <w:t>Table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6:</w:t>
      </w:r>
      <w:r>
        <w:rPr>
          <w:i/>
          <w:spacing w:val="45"/>
          <w:sz w:val="22"/>
        </w:rPr>
        <w:t> </w:t>
      </w:r>
      <w:r>
        <w:rPr>
          <w:i/>
          <w:sz w:val="22"/>
        </w:rPr>
        <w:t>Blended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Rental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Rate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Summary</w:t>
      </w:r>
    </w:p>
    <w:p>
      <w:pPr>
        <w:spacing w:before="78" w:after="24"/>
        <w:ind w:left="2791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2025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Survey</w:t>
      </w:r>
      <w:r>
        <w:rPr>
          <w:rFonts w:ascii="Arial"/>
          <w:b/>
          <w:spacing w:val="-9"/>
          <w:sz w:val="16"/>
        </w:rPr>
        <w:t> </w:t>
      </w:r>
      <w:r>
        <w:rPr>
          <w:rFonts w:ascii="Arial"/>
          <w:b/>
          <w:spacing w:val="-2"/>
          <w:sz w:val="16"/>
        </w:rPr>
        <w:t>Results</w:t>
      </w:r>
    </w:p>
    <w:tbl>
      <w:tblPr>
        <w:tblW w:w="0" w:type="auto"/>
        <w:jc w:val="left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"/>
        <w:gridCol w:w="1552"/>
        <w:gridCol w:w="192"/>
        <w:gridCol w:w="648"/>
        <w:gridCol w:w="192"/>
        <w:gridCol w:w="874"/>
        <w:gridCol w:w="192"/>
        <w:gridCol w:w="1018"/>
        <w:gridCol w:w="192"/>
        <w:gridCol w:w="1261"/>
        <w:gridCol w:w="192"/>
        <w:gridCol w:w="1374"/>
        <w:gridCol w:w="1058"/>
      </w:tblGrid>
      <w:tr>
        <w:trPr>
          <w:trHeight w:val="409" w:hRule="atLeast"/>
        </w:trPr>
        <w:tc>
          <w:tcPr>
            <w:tcW w:w="95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77" w:lineRule="exact"/>
              <w:ind w:left="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Unit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4"/>
                <w:sz w:val="16"/>
              </w:rPr>
              <w:t>Size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1" w:lineRule="exact"/>
              <w:ind w:left="189"/>
              <w:rPr>
                <w:sz w:val="16"/>
              </w:rPr>
            </w:pPr>
            <w:r>
              <w:rPr>
                <w:spacing w:val="-4"/>
                <w:sz w:val="16"/>
              </w:rPr>
              <w:t>Unit</w:t>
            </w:r>
          </w:p>
          <w:p>
            <w:pPr>
              <w:pStyle w:val="TableParagraph"/>
              <w:spacing w:line="177" w:lineRule="exact" w:before="31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Lease</w:t>
            </w:r>
          </w:p>
        </w:tc>
        <w:tc>
          <w:tcPr>
            <w:tcW w:w="19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1" w:lineRule="exact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Bed</w:t>
            </w:r>
          </w:p>
          <w:p>
            <w:pPr>
              <w:pStyle w:val="TableParagraph"/>
              <w:spacing w:line="177" w:lineRule="exact" w:before="31"/>
              <w:ind w:left="18" w:right="2"/>
              <w:jc w:val="center"/>
              <w:rPr>
                <w:sz w:val="16"/>
              </w:rPr>
            </w:pPr>
            <w:r>
              <w:rPr>
                <w:sz w:val="16"/>
              </w:rPr>
              <w:t>Lease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19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77" w:lineRule="exact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Blended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(b)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1" w:lineRule="exact"/>
              <w:ind w:left="19"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2024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Blended</w:t>
            </w:r>
          </w:p>
          <w:p>
            <w:pPr>
              <w:pStyle w:val="TableParagraph"/>
              <w:spacing w:line="177" w:lineRule="exact" w:before="3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Blended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(b)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1" w:lineRule="exact"/>
              <w:ind w:left="23"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2023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Blended</w:t>
            </w:r>
          </w:p>
          <w:p>
            <w:pPr>
              <w:pStyle w:val="TableParagraph"/>
              <w:spacing w:line="177" w:lineRule="exact" w:before="31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Blended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(b)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99" w:hRule="atLeast"/>
        </w:trPr>
        <w:tc>
          <w:tcPr>
            <w:tcW w:w="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79" w:lineRule="exact"/>
              <w:ind w:left="33"/>
              <w:rPr>
                <w:sz w:val="16"/>
              </w:rPr>
            </w:pPr>
            <w:r>
              <w:rPr>
                <w:sz w:val="16"/>
              </w:rPr>
              <w:t>Studio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79" w:lineRule="exact"/>
              <w:ind w:right="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$1,871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79" w:lineRule="exact"/>
              <w:ind w:right="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$1,876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79" w:lineRule="exact"/>
              <w:ind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$1,872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79" w:lineRule="exact"/>
              <w:ind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$1,832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79" w:lineRule="exact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$1,789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4" w:hRule="atLeast"/>
        </w:trPr>
        <w:tc>
          <w:tcPr>
            <w:tcW w:w="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</w:tcPr>
          <w:p>
            <w:pPr>
              <w:pStyle w:val="TableParagraph"/>
              <w:spacing w:line="182" w:lineRule="exact" w:before="12"/>
              <w:ind w:left="33"/>
              <w:rPr>
                <w:sz w:val="16"/>
              </w:rPr>
            </w:pPr>
            <w:r>
              <w:rPr>
                <w:sz w:val="16"/>
              </w:rPr>
              <w:t>2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182" w:lineRule="exact" w:before="12"/>
              <w:ind w:right="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$2,303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spacing w:line="182" w:lineRule="exact" w:before="12"/>
              <w:ind w:right="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$2,764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182" w:lineRule="exact" w:before="12"/>
              <w:ind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$2,437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spacing w:line="182" w:lineRule="exact" w:before="12"/>
              <w:ind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$2,451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spacing w:line="182" w:lineRule="exact" w:before="12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$2,411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4" w:hRule="atLeast"/>
        </w:trPr>
        <w:tc>
          <w:tcPr>
            <w:tcW w:w="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</w:tcPr>
          <w:p>
            <w:pPr>
              <w:pStyle w:val="TableParagraph"/>
              <w:spacing w:line="182" w:lineRule="exact" w:before="12"/>
              <w:ind w:left="33"/>
              <w:rPr>
                <w:sz w:val="16"/>
              </w:rPr>
            </w:pPr>
            <w:r>
              <w:rPr>
                <w:sz w:val="16"/>
              </w:rPr>
              <w:t>3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line="182" w:lineRule="exact" w:before="12"/>
              <w:ind w:right="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$3,216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spacing w:line="182" w:lineRule="exact" w:before="12"/>
              <w:ind w:right="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$4,258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182" w:lineRule="exact" w:before="12"/>
              <w:ind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$3,567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spacing w:line="182" w:lineRule="exact" w:before="12"/>
              <w:ind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$3,533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4" w:type="dxa"/>
          </w:tcPr>
          <w:p>
            <w:pPr>
              <w:pStyle w:val="TableParagraph"/>
              <w:spacing w:line="182" w:lineRule="exact" w:before="12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$3,457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8" w:lineRule="exact" w:before="12"/>
              <w:ind w:left="33"/>
              <w:rPr>
                <w:sz w:val="16"/>
              </w:rPr>
            </w:pPr>
            <w:r>
              <w:rPr>
                <w:sz w:val="16"/>
              </w:rPr>
              <w:t>4+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8" w:lineRule="exact" w:before="12"/>
              <w:ind w:right="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$4,098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8" w:lineRule="exact" w:before="12"/>
              <w:ind w:right="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$5,132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8" w:lineRule="exact" w:before="12"/>
              <w:ind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$4,939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8" w:lineRule="exact" w:before="12"/>
              <w:ind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$4,731</w:t>
            </w:r>
          </w:p>
        </w:tc>
        <w:tc>
          <w:tcPr>
            <w:tcW w:w="1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8" w:lineRule="exact" w:before="12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$4,615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9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181" w:lineRule="exact"/>
              <w:ind w:left="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Total,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All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Sizes</w:t>
            </w:r>
          </w:p>
        </w:tc>
        <w:tc>
          <w:tcPr>
            <w:tcW w:w="19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181" w:lineRule="exact"/>
              <w:ind w:right="3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$2,309</w:t>
            </w:r>
          </w:p>
        </w:tc>
        <w:tc>
          <w:tcPr>
            <w:tcW w:w="19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181" w:lineRule="exact"/>
              <w:ind w:right="3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$3,447</w:t>
            </w:r>
          </w:p>
        </w:tc>
        <w:tc>
          <w:tcPr>
            <w:tcW w:w="19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8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181" w:lineRule="exact"/>
              <w:ind w:right="3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$2,711</w:t>
            </w:r>
          </w:p>
        </w:tc>
        <w:tc>
          <w:tcPr>
            <w:tcW w:w="19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1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181" w:lineRule="exact"/>
              <w:ind w:right="3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$2,762</w:t>
            </w:r>
          </w:p>
        </w:tc>
        <w:tc>
          <w:tcPr>
            <w:tcW w:w="19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4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181" w:lineRule="exact"/>
              <w:ind w:right="3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$2,719</w:t>
            </w:r>
          </w:p>
        </w:tc>
        <w:tc>
          <w:tcPr>
            <w:tcW w:w="105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184" w:lineRule="exact" w:before="13"/>
        <w:ind w:left="288" w:right="0" w:firstLine="0"/>
        <w:jc w:val="left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Notes:</w:t>
      </w:r>
    </w:p>
    <w:p>
      <w:pPr>
        <w:pStyle w:val="ListParagraph"/>
        <w:numPr>
          <w:ilvl w:val="0"/>
          <w:numId w:val="6"/>
        </w:numPr>
        <w:tabs>
          <w:tab w:pos="569" w:val="left" w:leader="none"/>
        </w:tabs>
        <w:spacing w:line="184" w:lineRule="exact" w:before="0" w:after="0"/>
        <w:ind w:left="569" w:right="0" w:hanging="281"/>
        <w:jc w:val="left"/>
        <w:rPr>
          <w:sz w:val="16"/>
        </w:rPr>
      </w:pPr>
      <w:r>
        <w:rPr>
          <w:sz w:val="16"/>
        </w:rPr>
        <w:t>Based</w:t>
      </w:r>
      <w:r>
        <w:rPr>
          <w:spacing w:val="-6"/>
          <w:sz w:val="16"/>
        </w:rPr>
        <w:t> </w:t>
      </w:r>
      <w:r>
        <w:rPr>
          <w:sz w:val="16"/>
        </w:rPr>
        <w:t>on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number</w:t>
      </w:r>
      <w:r>
        <w:rPr>
          <w:spacing w:val="-6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beds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-6"/>
          <w:sz w:val="16"/>
        </w:rPr>
        <w:t> </w:t>
      </w:r>
      <w:r>
        <w:rPr>
          <w:sz w:val="16"/>
        </w:rPr>
        <w:t>weighted</w:t>
      </w:r>
      <w:r>
        <w:rPr>
          <w:spacing w:val="-4"/>
          <w:sz w:val="16"/>
        </w:rPr>
        <w:t> </w:t>
      </w:r>
      <w:r>
        <w:rPr>
          <w:sz w:val="16"/>
        </w:rPr>
        <w:t>average</w:t>
      </w:r>
      <w:r>
        <w:rPr>
          <w:spacing w:val="-6"/>
          <w:sz w:val="16"/>
        </w:rPr>
        <w:t> </w:t>
      </w:r>
      <w:r>
        <w:rPr>
          <w:sz w:val="16"/>
        </w:rPr>
        <w:t>bed</w:t>
      </w:r>
      <w:r>
        <w:rPr>
          <w:spacing w:val="-6"/>
          <w:sz w:val="16"/>
        </w:rPr>
        <w:t> </w:t>
      </w:r>
      <w:r>
        <w:rPr>
          <w:sz w:val="16"/>
        </w:rPr>
        <w:t>lease</w:t>
      </w:r>
      <w:r>
        <w:rPr>
          <w:spacing w:val="-6"/>
          <w:sz w:val="16"/>
        </w:rPr>
        <w:t> </w:t>
      </w:r>
      <w:r>
        <w:rPr>
          <w:sz w:val="16"/>
        </w:rPr>
        <w:t>rental</w:t>
      </w:r>
      <w:r>
        <w:rPr>
          <w:spacing w:val="-5"/>
          <w:sz w:val="16"/>
        </w:rPr>
        <w:t> </w:t>
      </w:r>
      <w:r>
        <w:rPr>
          <w:sz w:val="16"/>
        </w:rPr>
        <w:t>rate,</w:t>
      </w:r>
      <w:r>
        <w:rPr>
          <w:spacing w:val="-5"/>
          <w:sz w:val="16"/>
        </w:rPr>
        <w:t> </w:t>
      </w:r>
      <w:r>
        <w:rPr>
          <w:sz w:val="16"/>
        </w:rPr>
        <w:t>by</w:t>
      </w:r>
      <w:r>
        <w:rPr>
          <w:spacing w:val="-4"/>
          <w:sz w:val="16"/>
        </w:rPr>
        <w:t> </w:t>
      </w:r>
      <w:r>
        <w:rPr>
          <w:sz w:val="16"/>
        </w:rPr>
        <w:t>unit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type.</w:t>
      </w:r>
    </w:p>
    <w:p>
      <w:pPr>
        <w:pStyle w:val="ListParagraph"/>
        <w:numPr>
          <w:ilvl w:val="0"/>
          <w:numId w:val="6"/>
        </w:numPr>
        <w:tabs>
          <w:tab w:pos="569" w:val="left" w:leader="none"/>
        </w:tabs>
        <w:spacing w:line="184" w:lineRule="exact" w:before="0" w:after="0"/>
        <w:ind w:left="569" w:right="0" w:hanging="281"/>
        <w:jc w:val="left"/>
        <w:rPr>
          <w:sz w:val="16"/>
        </w:rPr>
      </w:pPr>
      <w:r>
        <w:rPr>
          <w:sz w:val="16"/>
        </w:rPr>
        <w:t>Based</w:t>
      </w:r>
      <w:r>
        <w:rPr>
          <w:spacing w:val="-7"/>
          <w:sz w:val="16"/>
        </w:rPr>
        <w:t> </w:t>
      </w:r>
      <w:r>
        <w:rPr>
          <w:sz w:val="16"/>
        </w:rPr>
        <w:t>on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weighted</w:t>
      </w:r>
      <w:r>
        <w:rPr>
          <w:spacing w:val="-7"/>
          <w:sz w:val="16"/>
        </w:rPr>
        <w:t> </w:t>
      </w:r>
      <w:r>
        <w:rPr>
          <w:sz w:val="16"/>
        </w:rPr>
        <w:t>average</w:t>
      </w:r>
      <w:r>
        <w:rPr>
          <w:spacing w:val="-6"/>
          <w:sz w:val="16"/>
        </w:rPr>
        <w:t> </w:t>
      </w:r>
      <w:r>
        <w:rPr>
          <w:sz w:val="16"/>
        </w:rPr>
        <w:t>unit</w:t>
      </w:r>
      <w:r>
        <w:rPr>
          <w:spacing w:val="-7"/>
          <w:sz w:val="16"/>
        </w:rPr>
        <w:t> </w:t>
      </w:r>
      <w:r>
        <w:rPr>
          <w:sz w:val="16"/>
        </w:rPr>
        <w:t>lease</w:t>
      </w:r>
      <w:r>
        <w:rPr>
          <w:spacing w:val="-6"/>
          <w:sz w:val="16"/>
        </w:rPr>
        <w:t> </w:t>
      </w:r>
      <w:r>
        <w:rPr>
          <w:sz w:val="16"/>
        </w:rPr>
        <w:t>rate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7"/>
          <w:sz w:val="16"/>
        </w:rPr>
        <w:t> </w:t>
      </w:r>
      <w:r>
        <w:rPr>
          <w:sz w:val="16"/>
        </w:rPr>
        <w:t>unit</w:t>
      </w:r>
      <w:r>
        <w:rPr>
          <w:spacing w:val="-6"/>
          <w:sz w:val="16"/>
        </w:rPr>
        <w:t> </w:t>
      </w:r>
      <w:r>
        <w:rPr>
          <w:sz w:val="16"/>
        </w:rPr>
        <w:t>lease</w:t>
      </w:r>
      <w:r>
        <w:rPr>
          <w:spacing w:val="-7"/>
          <w:sz w:val="16"/>
        </w:rPr>
        <w:t> </w:t>
      </w:r>
      <w:r>
        <w:rPr>
          <w:sz w:val="16"/>
        </w:rPr>
        <w:t>equivalent</w:t>
      </w:r>
      <w:r>
        <w:rPr>
          <w:spacing w:val="-6"/>
          <w:sz w:val="16"/>
        </w:rPr>
        <w:t> </w:t>
      </w:r>
      <w:r>
        <w:rPr>
          <w:sz w:val="16"/>
        </w:rPr>
        <w:t>rate</w:t>
      </w:r>
      <w:r>
        <w:rPr>
          <w:spacing w:val="-7"/>
          <w:sz w:val="16"/>
        </w:rPr>
        <w:t> </w:t>
      </w:r>
      <w:r>
        <w:rPr>
          <w:sz w:val="16"/>
        </w:rPr>
        <w:t>(for</w:t>
      </w:r>
      <w:r>
        <w:rPr>
          <w:spacing w:val="-5"/>
          <w:sz w:val="16"/>
        </w:rPr>
        <w:t> </w:t>
      </w:r>
      <w:r>
        <w:rPr>
          <w:sz w:val="16"/>
        </w:rPr>
        <w:t>bed-leased</w:t>
      </w:r>
      <w:r>
        <w:rPr>
          <w:spacing w:val="-7"/>
          <w:sz w:val="16"/>
        </w:rPr>
        <w:t> </w:t>
      </w:r>
      <w:r>
        <w:rPr>
          <w:sz w:val="16"/>
        </w:rPr>
        <w:t>units),</w:t>
      </w:r>
      <w:r>
        <w:rPr>
          <w:spacing w:val="-6"/>
          <w:sz w:val="16"/>
        </w:rPr>
        <w:t> </w:t>
      </w:r>
      <w:r>
        <w:rPr>
          <w:sz w:val="16"/>
        </w:rPr>
        <w:t>by</w:t>
      </w:r>
      <w:r>
        <w:rPr>
          <w:spacing w:val="-6"/>
          <w:sz w:val="16"/>
        </w:rPr>
        <w:t> </w:t>
      </w:r>
      <w:r>
        <w:rPr>
          <w:sz w:val="16"/>
        </w:rPr>
        <w:t>unit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type.</w:t>
      </w:r>
    </w:p>
    <w:p>
      <w:pPr>
        <w:pStyle w:val="BodyText"/>
        <w:rPr>
          <w:rFonts w:ascii="Arial MT"/>
          <w:sz w:val="16"/>
        </w:rPr>
      </w:pPr>
    </w:p>
    <w:p>
      <w:pPr>
        <w:spacing w:before="0"/>
        <w:ind w:left="287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Source:</w:t>
      </w:r>
      <w:r>
        <w:rPr>
          <w:rFonts w:ascii="Arial MT"/>
          <w:spacing w:val="36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5"/>
          <w:sz w:val="16"/>
        </w:rPr>
        <w:t> </w:t>
      </w:r>
      <w:r>
        <w:rPr>
          <w:rFonts w:ascii="Arial MT"/>
          <w:spacing w:val="-4"/>
          <w:sz w:val="16"/>
        </w:rPr>
        <w:t>2025.</w:t>
      </w:r>
    </w:p>
    <w:p>
      <w:pPr>
        <w:pStyle w:val="BodyText"/>
        <w:spacing w:before="42"/>
        <w:rPr>
          <w:rFonts w:ascii="Arial MT"/>
          <w:sz w:val="16"/>
        </w:rPr>
      </w:pPr>
    </w:p>
    <w:p>
      <w:pPr>
        <w:pStyle w:val="Heading1"/>
      </w:pPr>
      <w:bookmarkStart w:name="Additional Recurring Charges" w:id="22"/>
      <w:bookmarkEnd w:id="22"/>
      <w:r>
        <w:rPr>
          <w:i w:val="0"/>
        </w:rPr>
      </w:r>
      <w:r>
        <w:rPr/>
        <w:t>Additional</w:t>
      </w:r>
      <w:r>
        <w:rPr>
          <w:spacing w:val="35"/>
        </w:rPr>
        <w:t> </w:t>
      </w:r>
      <w:r>
        <w:rPr/>
        <w:t>Recurring</w:t>
      </w:r>
      <w:r>
        <w:rPr>
          <w:spacing w:val="41"/>
        </w:rPr>
        <w:t> </w:t>
      </w:r>
      <w:r>
        <w:rPr>
          <w:spacing w:val="-2"/>
        </w:rPr>
        <w:t>Charges</w:t>
      </w:r>
    </w:p>
    <w:p>
      <w:pPr>
        <w:pStyle w:val="BodyText"/>
        <w:spacing w:line="288" w:lineRule="auto" w:before="48"/>
        <w:ind w:left="287" w:right="288"/>
      </w:pPr>
      <w:r>
        <w:rPr/>
        <w:t>Prior</w:t>
      </w:r>
      <w:r>
        <w:rPr>
          <w:spacing w:val="-2"/>
        </w:rPr>
        <w:t> </w:t>
      </w:r>
      <w:r>
        <w:rPr/>
        <w:t>survey efforts</w:t>
      </w:r>
      <w:r>
        <w:rPr>
          <w:spacing w:val="-1"/>
        </w:rPr>
        <w:t> </w:t>
      </w:r>
      <w:r>
        <w:rPr/>
        <w:t>identified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increasing</w:t>
      </w:r>
      <w:r>
        <w:rPr>
          <w:spacing w:val="-1"/>
        </w:rPr>
        <w:t> </w:t>
      </w:r>
      <w:r>
        <w:rPr/>
        <w:t>prevalence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complexes</w:t>
      </w:r>
      <w:r>
        <w:rPr>
          <w:spacing w:val="-1"/>
        </w:rPr>
        <w:t> </w:t>
      </w:r>
      <w:r>
        <w:rPr/>
        <w:t>charging</w:t>
      </w:r>
      <w:r>
        <w:rPr>
          <w:spacing w:val="-1"/>
        </w:rPr>
        <w:t> </w:t>
      </w:r>
      <w:r>
        <w:rPr/>
        <w:t>tenants separately</w:t>
      </w:r>
      <w:r>
        <w:rPr>
          <w:spacing w:val="-11"/>
        </w:rPr>
        <w:t> </w:t>
      </w:r>
      <w:r>
        <w:rPr/>
        <w:t>for</w:t>
      </w:r>
      <w:r>
        <w:rPr>
          <w:spacing w:val="-12"/>
        </w:rPr>
        <w:t> </w:t>
      </w:r>
      <w:r>
        <w:rPr/>
        <w:t>utilities,</w:t>
      </w:r>
      <w:r>
        <w:rPr>
          <w:spacing w:val="-11"/>
        </w:rPr>
        <w:t> </w:t>
      </w:r>
      <w:r>
        <w:rPr/>
        <w:t>amenities,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services</w:t>
      </w:r>
      <w:r>
        <w:rPr>
          <w:spacing w:val="-10"/>
        </w:rPr>
        <w:t> </w:t>
      </w:r>
      <w:r>
        <w:rPr/>
        <w:t>that</w:t>
      </w:r>
      <w:r>
        <w:rPr>
          <w:spacing w:val="-11"/>
        </w:rPr>
        <w:t> </w:t>
      </w:r>
      <w:r>
        <w:rPr/>
        <w:t>have</w:t>
      </w:r>
      <w:r>
        <w:rPr>
          <w:spacing w:val="-12"/>
        </w:rPr>
        <w:t> </w:t>
      </w:r>
      <w:r>
        <w:rPr/>
        <w:t>historically</w:t>
      </w:r>
      <w:r>
        <w:rPr>
          <w:spacing w:val="-11"/>
        </w:rPr>
        <w:t> </w:t>
      </w:r>
      <w:r>
        <w:rPr/>
        <w:t>been</w:t>
      </w:r>
      <w:r>
        <w:rPr>
          <w:spacing w:val="-12"/>
        </w:rPr>
        <w:t> </w:t>
      </w:r>
      <w:r>
        <w:rPr/>
        <w:t>included</w:t>
      </w:r>
      <w:r>
        <w:rPr>
          <w:spacing w:val="-11"/>
        </w:rPr>
        <w:t> </w:t>
      </w:r>
      <w:r>
        <w:rPr/>
        <w:t>in</w:t>
      </w:r>
      <w:r>
        <w:rPr>
          <w:spacing w:val="-12"/>
        </w:rPr>
        <w:t> </w:t>
      </w:r>
      <w:r>
        <w:rPr/>
        <w:t>rent.</w:t>
      </w:r>
      <w:r>
        <w:rPr>
          <w:spacing w:val="-10"/>
        </w:rPr>
        <w:t> </w:t>
      </w:r>
      <w:r>
        <w:rPr/>
        <w:t>For example,</w:t>
      </w:r>
      <w:r>
        <w:rPr>
          <w:spacing w:val="-14"/>
        </w:rPr>
        <w:t> </w:t>
      </w:r>
      <w:r>
        <w:rPr/>
        <w:t>some</w:t>
      </w:r>
      <w:r>
        <w:rPr>
          <w:spacing w:val="-14"/>
        </w:rPr>
        <w:t> </w:t>
      </w:r>
      <w:r>
        <w:rPr/>
        <w:t>complexes</w:t>
      </w:r>
      <w:r>
        <w:rPr>
          <w:spacing w:val="-14"/>
        </w:rPr>
        <w:t> </w:t>
      </w:r>
      <w:r>
        <w:rPr/>
        <w:t>have</w:t>
      </w:r>
      <w:r>
        <w:rPr>
          <w:spacing w:val="-13"/>
        </w:rPr>
        <w:t> </w:t>
      </w:r>
      <w:r>
        <w:rPr/>
        <w:t>started</w:t>
      </w:r>
      <w:r>
        <w:rPr>
          <w:spacing w:val="-14"/>
        </w:rPr>
        <w:t> </w:t>
      </w:r>
      <w:r>
        <w:rPr/>
        <w:t>charging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recurring</w:t>
      </w:r>
      <w:r>
        <w:rPr>
          <w:spacing w:val="-13"/>
        </w:rPr>
        <w:t> </w:t>
      </w:r>
      <w:r>
        <w:rPr/>
        <w:t>monthly</w:t>
      </w:r>
      <w:r>
        <w:rPr>
          <w:spacing w:val="-14"/>
        </w:rPr>
        <w:t> </w:t>
      </w:r>
      <w:r>
        <w:rPr/>
        <w:t>fee</w:t>
      </w:r>
      <w:r>
        <w:rPr>
          <w:spacing w:val="-14"/>
        </w:rPr>
        <w:t> </w:t>
      </w:r>
      <w:r>
        <w:rPr/>
        <w:t>for</w:t>
      </w:r>
      <w:r>
        <w:rPr>
          <w:spacing w:val="-14"/>
        </w:rPr>
        <w:t> </w:t>
      </w:r>
      <w:r>
        <w:rPr/>
        <w:t>water,</w:t>
      </w:r>
      <w:r>
        <w:rPr>
          <w:spacing w:val="-13"/>
        </w:rPr>
        <w:t> </w:t>
      </w:r>
      <w:r>
        <w:rPr/>
        <w:t>sewer,</w:t>
      </w:r>
      <w:r>
        <w:rPr>
          <w:spacing w:val="-14"/>
        </w:rPr>
        <w:t> </w:t>
      </w:r>
      <w:r>
        <w:rPr/>
        <w:t>and garbage</w:t>
      </w:r>
      <w:r>
        <w:rPr>
          <w:spacing w:val="-1"/>
        </w:rPr>
        <w:t> </w:t>
      </w:r>
      <w:r>
        <w:rPr/>
        <w:t>service, or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 use</w:t>
      </w:r>
      <w:r>
        <w:rPr>
          <w:spacing w:val="-1"/>
        </w:rPr>
        <w:t> </w:t>
      </w:r>
      <w:r>
        <w:rPr/>
        <w:t>of certain</w:t>
      </w:r>
      <w:r>
        <w:rPr>
          <w:spacing w:val="-1"/>
        </w:rPr>
        <w:t> </w:t>
      </w:r>
      <w:r>
        <w:rPr/>
        <w:t>on-site</w:t>
      </w:r>
      <w:r>
        <w:rPr>
          <w:spacing w:val="-1"/>
        </w:rPr>
        <w:t> </w:t>
      </w:r>
      <w:r>
        <w:rPr/>
        <w:t>amenities. In</w:t>
      </w:r>
      <w:r>
        <w:rPr>
          <w:spacing w:val="-1"/>
        </w:rPr>
        <w:t> </w:t>
      </w:r>
      <w:r>
        <w:rPr/>
        <w:t>many cases, these</w:t>
      </w:r>
      <w:r>
        <w:rPr>
          <w:spacing w:val="-1"/>
        </w:rPr>
        <w:t> </w:t>
      </w:r>
      <w:r>
        <w:rPr/>
        <w:t>newly itemized</w:t>
      </w:r>
      <w:r>
        <w:rPr>
          <w:spacing w:val="-3"/>
        </w:rPr>
        <w:t> </w:t>
      </w:r>
      <w:r>
        <w:rPr/>
        <w:t>charges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mandatory,</w:t>
      </w:r>
      <w:r>
        <w:rPr>
          <w:spacing w:val="-3"/>
        </w:rPr>
        <w:t> </w:t>
      </w:r>
      <w:r>
        <w:rPr/>
        <w:t>but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considered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separate</w:t>
      </w:r>
      <w:r>
        <w:rPr>
          <w:spacing w:val="-4"/>
        </w:rPr>
        <w:t> </w:t>
      </w:r>
      <w:r>
        <w:rPr/>
        <w:t>from</w:t>
      </w:r>
      <w:r>
        <w:rPr>
          <w:spacing w:val="-2"/>
        </w:rPr>
        <w:t> </w:t>
      </w:r>
      <w:r>
        <w:rPr/>
        <w:t>rent.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account</w:t>
      </w:r>
      <w:r>
        <w:rPr>
          <w:spacing w:val="-2"/>
        </w:rPr>
        <w:t> </w:t>
      </w:r>
      <w:r>
        <w:rPr/>
        <w:t>for this,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survey</w:t>
      </w:r>
      <w:r>
        <w:rPr>
          <w:spacing w:val="-1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question</w:t>
      </w:r>
      <w:r>
        <w:rPr>
          <w:spacing w:val="-2"/>
        </w:rPr>
        <w:t> </w:t>
      </w:r>
      <w:r>
        <w:rPr/>
        <w:t>asking</w:t>
      </w:r>
      <w:r>
        <w:rPr>
          <w:spacing w:val="-1"/>
        </w:rPr>
        <w:t> </w:t>
      </w:r>
      <w:r>
        <w:rPr/>
        <w:t>respondents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more clearly</w:t>
      </w:r>
      <w:r>
        <w:rPr>
          <w:spacing w:val="-1"/>
        </w:rPr>
        <w:t> </w:t>
      </w:r>
      <w:r>
        <w:rPr/>
        <w:t>identify</w:t>
      </w:r>
      <w:r>
        <w:rPr>
          <w:spacing w:val="-1"/>
        </w:rPr>
        <w:t> </w:t>
      </w:r>
      <w:r>
        <w:rPr/>
        <w:t>additional monthly</w:t>
      </w:r>
      <w:r>
        <w:rPr>
          <w:spacing w:val="-1"/>
        </w:rPr>
        <w:t> </w:t>
      </w:r>
      <w:r>
        <w:rPr/>
        <w:t>charges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are</w:t>
      </w:r>
      <w:r>
        <w:rPr>
          <w:spacing w:val="-1"/>
        </w:rPr>
        <w:t> </w:t>
      </w:r>
      <w:r>
        <w:rPr/>
        <w:t>not</w:t>
      </w:r>
      <w:r>
        <w:rPr>
          <w:spacing w:val="-3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monthly</w:t>
      </w:r>
      <w:r>
        <w:rPr>
          <w:spacing w:val="-2"/>
        </w:rPr>
        <w:t> </w:t>
      </w:r>
      <w:r>
        <w:rPr/>
        <w:t>rent</w:t>
      </w:r>
      <w:r>
        <w:rPr>
          <w:spacing w:val="-3"/>
        </w:rPr>
        <w:t> </w:t>
      </w:r>
      <w:r>
        <w:rPr/>
        <w:t>amount</w:t>
      </w:r>
      <w:r>
        <w:rPr>
          <w:spacing w:val="-3"/>
        </w:rPr>
        <w:t> </w:t>
      </w:r>
      <w:r>
        <w:rPr/>
        <w:t>paid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tenants.</w:t>
      </w:r>
    </w:p>
    <w:p>
      <w:pPr>
        <w:pStyle w:val="BodyText"/>
        <w:spacing w:before="4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1097280</wp:posOffset>
                </wp:positionH>
                <wp:positionV relativeFrom="paragraph">
                  <wp:posOffset>189312</wp:posOffset>
                </wp:positionV>
                <wp:extent cx="1828800" cy="6985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18288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98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858"/>
                              </a:lnTo>
                              <a:lnTo>
                                <a:pt x="1828800" y="6858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6.400002pt;margin-top:14.906529pt;width:144pt;height:.54pt;mso-position-horizontal-relative:page;mso-position-vertical-relative:paragraph;z-index:-15721472;mso-wrap-distance-left:0;mso-wrap-distance-right:0" id="docshape5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19"/>
        <w:rPr>
          <w:sz w:val="20"/>
        </w:rPr>
      </w:pPr>
    </w:p>
    <w:p>
      <w:pPr>
        <w:spacing w:line="297" w:lineRule="auto" w:before="1"/>
        <w:ind w:left="288" w:right="324" w:hanging="1"/>
        <w:jc w:val="left"/>
        <w:rPr>
          <w:sz w:val="20"/>
        </w:rPr>
      </w:pPr>
      <w:bookmarkStart w:name="_bookmark6" w:id="23"/>
      <w:bookmarkEnd w:id="23"/>
      <w:r>
        <w:rPr/>
      </w:r>
      <w:r>
        <w:rPr>
          <w:position w:val="5"/>
          <w:sz w:val="13"/>
        </w:rPr>
        <w:t>7</w:t>
      </w:r>
      <w:r>
        <w:rPr>
          <w:spacing w:val="6"/>
          <w:position w:val="5"/>
          <w:sz w:val="13"/>
        </w:rPr>
        <w:t> </w:t>
      </w:r>
      <w:r>
        <w:rPr>
          <w:sz w:val="20"/>
        </w:rPr>
        <w:t>Calculated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multiplying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weighted</w:t>
      </w:r>
      <w:r>
        <w:rPr>
          <w:spacing w:val="-12"/>
          <w:sz w:val="20"/>
        </w:rPr>
        <w:t> </w:t>
      </w:r>
      <w:r>
        <w:rPr>
          <w:sz w:val="20"/>
        </w:rPr>
        <w:t>average</w:t>
      </w:r>
      <w:r>
        <w:rPr>
          <w:spacing w:val="-11"/>
          <w:sz w:val="20"/>
        </w:rPr>
        <w:t> </w:t>
      </w:r>
      <w:r>
        <w:rPr>
          <w:sz w:val="20"/>
        </w:rPr>
        <w:t>bed</w:t>
      </w:r>
      <w:r>
        <w:rPr>
          <w:spacing w:val="-11"/>
          <w:sz w:val="20"/>
        </w:rPr>
        <w:t> </w:t>
      </w:r>
      <w:r>
        <w:rPr>
          <w:sz w:val="20"/>
        </w:rPr>
        <w:t>lease</w:t>
      </w:r>
      <w:r>
        <w:rPr>
          <w:spacing w:val="-11"/>
          <w:sz w:val="20"/>
        </w:rPr>
        <w:t> </w:t>
      </w:r>
      <w:r>
        <w:rPr>
          <w:sz w:val="20"/>
        </w:rPr>
        <w:t>rate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average</w:t>
      </w:r>
      <w:r>
        <w:rPr>
          <w:spacing w:val="-12"/>
          <w:sz w:val="20"/>
        </w:rPr>
        <w:t> </w:t>
      </w:r>
      <w:r>
        <w:rPr>
          <w:sz w:val="20"/>
        </w:rPr>
        <w:t>number</w:t>
      </w:r>
      <w:r>
        <w:rPr>
          <w:spacing w:val="-12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beds</w:t>
      </w:r>
      <w:r>
        <w:rPr>
          <w:spacing w:val="-10"/>
          <w:sz w:val="20"/>
        </w:rPr>
        <w:t> </w:t>
      </w:r>
      <w:r>
        <w:rPr>
          <w:sz w:val="20"/>
        </w:rPr>
        <w:t>per</w:t>
      </w:r>
      <w:r>
        <w:rPr>
          <w:spacing w:val="-12"/>
          <w:sz w:val="20"/>
        </w:rPr>
        <w:t> </w:t>
      </w:r>
      <w:r>
        <w:rPr>
          <w:sz w:val="20"/>
        </w:rPr>
        <w:t>unit</w:t>
      </w:r>
      <w:r>
        <w:rPr>
          <w:spacing w:val="-12"/>
          <w:sz w:val="20"/>
        </w:rPr>
        <w:t> </w:t>
      </w:r>
      <w:r>
        <w:rPr>
          <w:sz w:val="20"/>
        </w:rPr>
        <w:t>by unit</w:t>
      </w:r>
      <w:r>
        <w:rPr>
          <w:spacing w:val="-2"/>
          <w:sz w:val="20"/>
        </w:rPr>
        <w:t> </w:t>
      </w:r>
      <w:r>
        <w:rPr>
          <w:sz w:val="20"/>
        </w:rPr>
        <w:t>type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calculate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“unit</w:t>
      </w:r>
      <w:r>
        <w:rPr>
          <w:spacing w:val="-2"/>
          <w:sz w:val="20"/>
        </w:rPr>
        <w:t> </w:t>
      </w:r>
      <w:r>
        <w:rPr>
          <w:sz w:val="20"/>
        </w:rPr>
        <w:t>lease</w:t>
      </w:r>
      <w:r>
        <w:rPr>
          <w:spacing w:val="-1"/>
          <w:sz w:val="20"/>
        </w:rPr>
        <w:t> </w:t>
      </w:r>
      <w:r>
        <w:rPr>
          <w:sz w:val="20"/>
        </w:rPr>
        <w:t>equivalent,”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1"/>
          <w:sz w:val="20"/>
        </w:rPr>
        <w:t> </w:t>
      </w:r>
      <w:r>
        <w:rPr>
          <w:sz w:val="20"/>
        </w:rPr>
        <w:t>was</w:t>
      </w:r>
      <w:r>
        <w:rPr>
          <w:spacing w:val="-2"/>
          <w:sz w:val="20"/>
        </w:rPr>
        <w:t> </w:t>
      </w:r>
      <w:r>
        <w:rPr>
          <w:sz w:val="20"/>
        </w:rPr>
        <w:t>then</w:t>
      </w:r>
      <w:r>
        <w:rPr>
          <w:spacing w:val="-2"/>
          <w:sz w:val="20"/>
        </w:rPr>
        <w:t> </w:t>
      </w:r>
      <w:r>
        <w:rPr>
          <w:sz w:val="20"/>
        </w:rPr>
        <w:t>combined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weighted</w:t>
      </w:r>
      <w:r>
        <w:rPr>
          <w:spacing w:val="-1"/>
          <w:sz w:val="20"/>
        </w:rPr>
        <w:t> </w:t>
      </w:r>
      <w:r>
        <w:rPr>
          <w:sz w:val="20"/>
        </w:rPr>
        <w:t>average unit lease rent to calculated a “blended” average rental rate estimate by unit type.</w:t>
      </w:r>
    </w:p>
    <w:p>
      <w:pPr>
        <w:spacing w:after="0" w:line="297" w:lineRule="auto"/>
        <w:jc w:val="left"/>
        <w:rPr>
          <w:sz w:val="20"/>
        </w:rPr>
        <w:sectPr>
          <w:pgSz w:w="12240" w:h="15840"/>
          <w:pgMar w:header="0" w:footer="794" w:top="1700" w:bottom="980" w:left="1440" w:right="1440"/>
        </w:sectPr>
      </w:pPr>
    </w:p>
    <w:p>
      <w:pPr>
        <w:spacing w:before="78"/>
        <w:ind w:left="288" w:right="0" w:firstLine="0"/>
        <w:jc w:val="left"/>
        <w:rPr>
          <w:i/>
          <w:sz w:val="22"/>
        </w:rPr>
      </w:pPr>
      <w:r>
        <w:rPr>
          <w:i/>
          <w:sz w:val="22"/>
        </w:rPr>
        <w:t>Additional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Lease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Charges</w:t>
      </w:r>
    </w:p>
    <w:p>
      <w:pPr>
        <w:pStyle w:val="BodyText"/>
        <w:spacing w:line="288" w:lineRule="auto" w:before="51"/>
        <w:ind w:left="287" w:right="288"/>
      </w:pPr>
      <w:r>
        <w:rPr/>
        <w:t>A</w:t>
      </w:r>
      <w:r>
        <w:rPr>
          <w:spacing w:val="-4"/>
        </w:rPr>
        <w:t> </w:t>
      </w:r>
      <w:r>
        <w:rPr/>
        <w:t>total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40</w:t>
      </w:r>
      <w:r>
        <w:rPr>
          <w:spacing w:val="-4"/>
        </w:rPr>
        <w:t> </w:t>
      </w:r>
      <w:r>
        <w:rPr/>
        <w:t>unit-lease</w:t>
      </w:r>
      <w:r>
        <w:rPr>
          <w:spacing w:val="-5"/>
        </w:rPr>
        <w:t> </w:t>
      </w:r>
      <w:r>
        <w:rPr/>
        <w:t>complexes</w:t>
      </w:r>
      <w:r>
        <w:rPr>
          <w:spacing w:val="-4"/>
        </w:rPr>
        <w:t> </w:t>
      </w:r>
      <w:r>
        <w:rPr/>
        <w:t>indicated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they</w:t>
      </w:r>
      <w:r>
        <w:rPr>
          <w:spacing w:val="-4"/>
        </w:rPr>
        <w:t> </w:t>
      </w:r>
      <w:r>
        <w:rPr/>
        <w:t>levy</w:t>
      </w:r>
      <w:r>
        <w:rPr>
          <w:spacing w:val="-4"/>
        </w:rPr>
        <w:t> </w:t>
      </w:r>
      <w:r>
        <w:rPr/>
        <w:t>additional</w:t>
      </w:r>
      <w:r>
        <w:rPr>
          <w:spacing w:val="-5"/>
        </w:rPr>
        <w:t> </w:t>
      </w:r>
      <w:r>
        <w:rPr/>
        <w:t>mandatory</w:t>
      </w:r>
      <w:r>
        <w:rPr>
          <w:spacing w:val="-4"/>
        </w:rPr>
        <w:t> </w:t>
      </w:r>
      <w:r>
        <w:rPr/>
        <w:t>charges</w:t>
      </w:r>
      <w:r>
        <w:rPr>
          <w:spacing w:val="-4"/>
        </w:rPr>
        <w:t> </w:t>
      </w:r>
      <w:r>
        <w:rPr/>
        <w:t>in addition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rent,</w:t>
      </w:r>
      <w:r>
        <w:rPr>
          <w:spacing w:val="-12"/>
        </w:rPr>
        <w:t> </w:t>
      </w:r>
      <w:r>
        <w:rPr/>
        <w:t>which</w:t>
      </w:r>
      <w:r>
        <w:rPr>
          <w:spacing w:val="-12"/>
        </w:rPr>
        <w:t> </w:t>
      </w:r>
      <w:r>
        <w:rPr/>
        <w:t>is</w:t>
      </w:r>
      <w:r>
        <w:rPr>
          <w:spacing w:val="-11"/>
        </w:rPr>
        <w:t> </w:t>
      </w:r>
      <w:r>
        <w:rPr/>
        <w:t>comparable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2024</w:t>
      </w:r>
      <w:r>
        <w:rPr>
          <w:spacing w:val="-13"/>
        </w:rPr>
        <w:t> </w:t>
      </w:r>
      <w:r>
        <w:rPr/>
        <w:t>survey.</w:t>
      </w:r>
      <w:r>
        <w:rPr>
          <w:spacing w:val="-12"/>
        </w:rPr>
        <w:t> </w:t>
      </w:r>
      <w:r>
        <w:rPr/>
        <w:t>These</w:t>
      </w:r>
      <w:r>
        <w:rPr>
          <w:spacing w:val="-11"/>
        </w:rPr>
        <w:t> </w:t>
      </w:r>
      <w:r>
        <w:rPr/>
        <w:t>are</w:t>
      </w:r>
      <w:r>
        <w:rPr>
          <w:spacing w:val="-13"/>
        </w:rPr>
        <w:t> </w:t>
      </w:r>
      <w:r>
        <w:rPr/>
        <w:t>most</w:t>
      </w:r>
      <w:r>
        <w:rPr>
          <w:spacing w:val="-13"/>
        </w:rPr>
        <w:t> </w:t>
      </w:r>
      <w:r>
        <w:rPr/>
        <w:t>typically</w:t>
      </w:r>
      <w:r>
        <w:rPr>
          <w:spacing w:val="-12"/>
        </w:rPr>
        <w:t> </w:t>
      </w:r>
      <w:r>
        <w:rPr/>
        <w:t>associated with</w:t>
      </w:r>
      <w:r>
        <w:rPr>
          <w:spacing w:val="-5"/>
        </w:rPr>
        <w:t> </w:t>
      </w:r>
      <w:r>
        <w:rPr/>
        <w:t>utility</w:t>
      </w:r>
      <w:r>
        <w:rPr>
          <w:spacing w:val="-4"/>
        </w:rPr>
        <w:t> </w:t>
      </w:r>
      <w:r>
        <w:rPr/>
        <w:t>usage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parking.</w:t>
      </w:r>
      <w:r>
        <w:rPr>
          <w:spacing w:val="-5"/>
        </w:rPr>
        <w:t> </w:t>
      </w:r>
      <w:r>
        <w:rPr/>
        <w:t>Among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32</w:t>
      </w:r>
      <w:r>
        <w:rPr>
          <w:spacing w:val="-4"/>
        </w:rPr>
        <w:t> </w:t>
      </w:r>
      <w:r>
        <w:rPr/>
        <w:t>complexes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charge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separate</w:t>
      </w:r>
      <w:r>
        <w:rPr>
          <w:spacing w:val="-5"/>
        </w:rPr>
        <w:t> </w:t>
      </w:r>
      <w:r>
        <w:rPr/>
        <w:t>utility</w:t>
      </w:r>
      <w:r>
        <w:rPr>
          <w:spacing w:val="-5"/>
        </w:rPr>
        <w:t> </w:t>
      </w:r>
      <w:r>
        <w:rPr/>
        <w:t>fee, eight</w:t>
      </w:r>
      <w:r>
        <w:rPr>
          <w:spacing w:val="-1"/>
        </w:rPr>
        <w:t> </w:t>
      </w:r>
      <w:r>
        <w:rPr/>
        <w:t>of them charged between</w:t>
      </w:r>
      <w:r>
        <w:rPr>
          <w:spacing w:val="-1"/>
        </w:rPr>
        <w:t> </w:t>
      </w:r>
      <w:r>
        <w:rPr/>
        <w:t>$20 and $85</w:t>
      </w:r>
      <w:r>
        <w:rPr>
          <w:spacing w:val="-1"/>
        </w:rPr>
        <w:t> </w:t>
      </w:r>
      <w:r>
        <w:rPr/>
        <w:t>per person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bedroom, while three charged between</w:t>
      </w:r>
      <w:r>
        <w:rPr>
          <w:spacing w:val="-7"/>
        </w:rPr>
        <w:t> </w:t>
      </w:r>
      <w:r>
        <w:rPr/>
        <w:t>$80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$105</w:t>
      </w:r>
      <w:r>
        <w:rPr>
          <w:spacing w:val="-8"/>
        </w:rPr>
        <w:t> </w:t>
      </w:r>
      <w:r>
        <w:rPr/>
        <w:t>per</w:t>
      </w:r>
      <w:r>
        <w:rPr>
          <w:spacing w:val="-9"/>
        </w:rPr>
        <w:t> </w:t>
      </w:r>
      <w:r>
        <w:rPr/>
        <w:t>unit.</w:t>
      </w:r>
      <w:r>
        <w:rPr>
          <w:spacing w:val="-8"/>
        </w:rPr>
        <w:t> </w:t>
      </w:r>
      <w:r>
        <w:rPr/>
        <w:t>An</w:t>
      </w:r>
      <w:r>
        <w:rPr>
          <w:spacing w:val="-7"/>
        </w:rPr>
        <w:t> </w:t>
      </w:r>
      <w:r>
        <w:rPr/>
        <w:t>additional</w:t>
      </w:r>
      <w:r>
        <w:rPr>
          <w:spacing w:val="-8"/>
        </w:rPr>
        <w:t> </w:t>
      </w:r>
      <w:r>
        <w:rPr/>
        <w:t>21</w:t>
      </w:r>
      <w:r>
        <w:rPr>
          <w:spacing w:val="-9"/>
        </w:rPr>
        <w:t> </w:t>
      </w:r>
      <w:r>
        <w:rPr/>
        <w:t>properties</w:t>
      </w:r>
      <w:r>
        <w:rPr>
          <w:spacing w:val="-8"/>
        </w:rPr>
        <w:t> </w:t>
      </w:r>
      <w:r>
        <w:rPr/>
        <w:t>reported</w:t>
      </w:r>
      <w:r>
        <w:rPr>
          <w:spacing w:val="-8"/>
        </w:rPr>
        <w:t> </w:t>
      </w:r>
      <w:r>
        <w:rPr/>
        <w:t>charging</w:t>
      </w:r>
      <w:r>
        <w:rPr>
          <w:spacing w:val="-8"/>
        </w:rPr>
        <w:t> </w:t>
      </w:r>
      <w:r>
        <w:rPr/>
        <w:t>an</w:t>
      </w:r>
      <w:r>
        <w:rPr>
          <w:spacing w:val="-9"/>
        </w:rPr>
        <w:t> </w:t>
      </w:r>
      <w:r>
        <w:rPr/>
        <w:t>additional utility</w:t>
      </w:r>
      <w:r>
        <w:rPr>
          <w:spacing w:val="-3"/>
        </w:rPr>
        <w:t> </w:t>
      </w:r>
      <w:r>
        <w:rPr/>
        <w:t>fee</w:t>
      </w:r>
      <w:r>
        <w:rPr>
          <w:spacing w:val="-4"/>
        </w:rPr>
        <w:t> </w:t>
      </w:r>
      <w:r>
        <w:rPr/>
        <w:t>based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usage.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total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14</w:t>
      </w:r>
      <w:r>
        <w:rPr>
          <w:spacing w:val="-4"/>
        </w:rPr>
        <w:t> </w:t>
      </w:r>
      <w:r>
        <w:rPr/>
        <w:t>complexes</w:t>
      </w:r>
      <w:r>
        <w:rPr>
          <w:spacing w:val="-3"/>
        </w:rPr>
        <w:t> </w:t>
      </w:r>
      <w:r>
        <w:rPr/>
        <w:t>charge</w:t>
      </w:r>
      <w:r>
        <w:rPr>
          <w:spacing w:val="-4"/>
        </w:rPr>
        <w:t> </w:t>
      </w:r>
      <w:r>
        <w:rPr/>
        <w:t>separately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parking,</w:t>
      </w:r>
      <w:r>
        <w:rPr>
          <w:spacing w:val="-3"/>
        </w:rPr>
        <w:t> </w:t>
      </w:r>
      <w:r>
        <w:rPr/>
        <w:t>charging fees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monthly</w:t>
      </w:r>
      <w:r>
        <w:rPr>
          <w:spacing w:val="-1"/>
        </w:rPr>
        <w:t> </w:t>
      </w:r>
      <w:r>
        <w:rPr/>
        <w:t>basis, with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average</w:t>
      </w:r>
      <w:r>
        <w:rPr>
          <w:spacing w:val="-2"/>
        </w:rPr>
        <w:t> </w:t>
      </w:r>
      <w:r>
        <w:rPr/>
        <w:t>cost</w:t>
      </w:r>
      <w:r>
        <w:rPr>
          <w:spacing w:val="-2"/>
        </w:rPr>
        <w:t> </w:t>
      </w:r>
      <w:r>
        <w:rPr/>
        <w:t>of $58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month.</w:t>
      </w:r>
      <w:r>
        <w:rPr>
          <w:spacing w:val="-1"/>
        </w:rPr>
        <w:t> </w:t>
      </w:r>
      <w:r>
        <w:rPr/>
        <w:t>Some</w:t>
      </w:r>
      <w:r>
        <w:rPr>
          <w:spacing w:val="-2"/>
        </w:rPr>
        <w:t> </w:t>
      </w:r>
      <w:r>
        <w:rPr/>
        <w:t>examples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other additional charges include monthly pet fees and a resident services fee.</w:t>
      </w:r>
    </w:p>
    <w:p>
      <w:pPr>
        <w:spacing w:before="189"/>
        <w:ind w:left="288" w:right="0" w:firstLine="0"/>
        <w:jc w:val="left"/>
        <w:rPr>
          <w:i/>
          <w:sz w:val="22"/>
        </w:rPr>
      </w:pPr>
      <w:r>
        <w:rPr>
          <w:i/>
          <w:sz w:val="22"/>
        </w:rPr>
        <w:t>Additional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Bed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Lease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Charges</w:t>
      </w:r>
    </w:p>
    <w:p>
      <w:pPr>
        <w:pStyle w:val="BodyText"/>
        <w:spacing w:line="288" w:lineRule="auto" w:before="50"/>
        <w:ind w:left="288" w:right="288"/>
      </w:pPr>
      <w:r>
        <w:rPr/>
        <w:t>Bed</w:t>
      </w:r>
      <w:r>
        <w:rPr>
          <w:spacing w:val="-5"/>
        </w:rPr>
        <w:t> </w:t>
      </w:r>
      <w:r>
        <w:rPr/>
        <w:t>lease</w:t>
      </w:r>
      <w:r>
        <w:rPr>
          <w:spacing w:val="-6"/>
        </w:rPr>
        <w:t> </w:t>
      </w:r>
      <w:r>
        <w:rPr/>
        <w:t>complexes</w:t>
      </w:r>
      <w:r>
        <w:rPr>
          <w:spacing w:val="-5"/>
        </w:rPr>
        <w:t> </w:t>
      </w:r>
      <w:r>
        <w:rPr/>
        <w:t>most</w:t>
      </w:r>
      <w:r>
        <w:rPr>
          <w:spacing w:val="-6"/>
        </w:rPr>
        <w:t> </w:t>
      </w:r>
      <w:r>
        <w:rPr/>
        <w:t>commonly</w:t>
      </w:r>
      <w:r>
        <w:rPr>
          <w:spacing w:val="-5"/>
        </w:rPr>
        <w:t> </w:t>
      </w:r>
      <w:r>
        <w:rPr/>
        <w:t>reported</w:t>
      </w:r>
      <w:r>
        <w:rPr>
          <w:spacing w:val="-5"/>
        </w:rPr>
        <w:t> </w:t>
      </w:r>
      <w:r>
        <w:rPr/>
        <w:t>additional</w:t>
      </w:r>
      <w:r>
        <w:rPr>
          <w:spacing w:val="-5"/>
        </w:rPr>
        <w:t> </w:t>
      </w:r>
      <w:r>
        <w:rPr/>
        <w:t>utility</w:t>
      </w:r>
      <w:r>
        <w:rPr>
          <w:spacing w:val="-4"/>
        </w:rPr>
        <w:t> </w:t>
      </w:r>
      <w:r>
        <w:rPr/>
        <w:t>usage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parking</w:t>
      </w:r>
      <w:r>
        <w:rPr>
          <w:spacing w:val="-5"/>
        </w:rPr>
        <w:t> </w:t>
      </w:r>
      <w:r>
        <w:rPr/>
        <w:t>charges. Of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21</w:t>
      </w:r>
      <w:r>
        <w:rPr>
          <w:spacing w:val="-12"/>
        </w:rPr>
        <w:t> </w:t>
      </w:r>
      <w:r>
        <w:rPr/>
        <w:t>bed</w:t>
      </w:r>
      <w:r>
        <w:rPr>
          <w:spacing w:val="-11"/>
        </w:rPr>
        <w:t> </w:t>
      </w:r>
      <w:r>
        <w:rPr/>
        <w:t>lease</w:t>
      </w:r>
      <w:r>
        <w:rPr>
          <w:spacing w:val="-12"/>
        </w:rPr>
        <w:t> </w:t>
      </w:r>
      <w:r>
        <w:rPr/>
        <w:t>complexes,</w:t>
      </w:r>
      <w:r>
        <w:rPr>
          <w:spacing w:val="-11"/>
        </w:rPr>
        <w:t> </w:t>
      </w:r>
      <w:r>
        <w:rPr/>
        <w:t>nine</w:t>
      </w:r>
      <w:r>
        <w:rPr>
          <w:spacing w:val="-11"/>
        </w:rPr>
        <w:t> </w:t>
      </w:r>
      <w:r>
        <w:rPr/>
        <w:t>charged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flat</w:t>
      </w:r>
      <w:r>
        <w:rPr>
          <w:spacing w:val="-12"/>
        </w:rPr>
        <w:t> </w:t>
      </w:r>
      <w:r>
        <w:rPr/>
        <w:t>per</w:t>
      </w:r>
      <w:r>
        <w:rPr>
          <w:spacing w:val="-12"/>
        </w:rPr>
        <w:t> </w:t>
      </w:r>
      <w:r>
        <w:rPr/>
        <w:t>person</w:t>
      </w:r>
      <w:r>
        <w:rPr>
          <w:spacing w:val="-10"/>
        </w:rPr>
        <w:t> </w:t>
      </w:r>
      <w:r>
        <w:rPr/>
        <w:t>utility</w:t>
      </w:r>
      <w:r>
        <w:rPr>
          <w:spacing w:val="-11"/>
        </w:rPr>
        <w:t> </w:t>
      </w:r>
      <w:r>
        <w:rPr/>
        <w:t>fee,</w:t>
      </w:r>
      <w:r>
        <w:rPr>
          <w:spacing w:val="-11"/>
        </w:rPr>
        <w:t> </w:t>
      </w:r>
      <w:r>
        <w:rPr/>
        <w:t>ranging</w:t>
      </w:r>
      <w:r>
        <w:rPr>
          <w:spacing w:val="-11"/>
        </w:rPr>
        <w:t> </w:t>
      </w:r>
      <w:r>
        <w:rPr/>
        <w:t>from</w:t>
      </w:r>
      <w:r>
        <w:rPr>
          <w:spacing w:val="-11"/>
        </w:rPr>
        <w:t> </w:t>
      </w:r>
      <w:r>
        <w:rPr/>
        <w:t>$10</w:t>
      </w:r>
      <w:r>
        <w:rPr>
          <w:spacing w:val="-12"/>
        </w:rPr>
        <w:t> </w:t>
      </w:r>
      <w:r>
        <w:rPr/>
        <w:t>to</w:t>
      </w:r>
    </w:p>
    <w:p>
      <w:pPr>
        <w:pStyle w:val="BodyText"/>
        <w:spacing w:line="288" w:lineRule="auto" w:before="2"/>
        <w:ind w:left="287" w:right="288" w:hanging="1"/>
      </w:pPr>
      <w:r>
        <w:rPr/>
        <w:t>$59 per person. Another eight complexes charged for utilities on a passthrough basis.</w:t>
      </w:r>
      <w:hyperlink w:history="true" w:anchor="_bookmark7">
        <w:r>
          <w:rPr>
            <w:position w:val="5"/>
            <w:sz w:val="14"/>
          </w:rPr>
          <w:t>8</w:t>
        </w:r>
      </w:hyperlink>
      <w:r>
        <w:rPr>
          <w:spacing w:val="40"/>
          <w:position w:val="5"/>
          <w:sz w:val="14"/>
        </w:rPr>
        <w:t> </w:t>
      </w:r>
      <w:r>
        <w:rPr/>
        <w:t>Among</w:t>
      </w:r>
      <w:r>
        <w:rPr>
          <w:spacing w:val="-3"/>
        </w:rPr>
        <w:t> </w:t>
      </w:r>
      <w:r>
        <w:rPr/>
        <w:t>complexes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charge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parking,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typical</w:t>
      </w:r>
      <w:r>
        <w:rPr>
          <w:spacing w:val="-3"/>
        </w:rPr>
        <w:t> </w:t>
      </w:r>
      <w:r>
        <w:rPr/>
        <w:t>cost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around</w:t>
      </w:r>
      <w:r>
        <w:rPr>
          <w:spacing w:val="-3"/>
        </w:rPr>
        <w:t> </w:t>
      </w:r>
      <w:r>
        <w:rPr/>
        <w:t>$65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month;</w:t>
      </w:r>
      <w:r>
        <w:rPr>
          <w:spacing w:val="-3"/>
        </w:rPr>
        <w:t> </w:t>
      </w:r>
      <w:r>
        <w:rPr/>
        <w:t>with complexes</w:t>
      </w:r>
      <w:r>
        <w:rPr>
          <w:spacing w:val="-13"/>
        </w:rPr>
        <w:t> </w:t>
      </w:r>
      <w:r>
        <w:rPr/>
        <w:t>charging</w:t>
      </w:r>
      <w:r>
        <w:rPr>
          <w:spacing w:val="-13"/>
        </w:rPr>
        <w:t> </w:t>
      </w:r>
      <w:r>
        <w:rPr/>
        <w:t>more</w:t>
      </w:r>
      <w:r>
        <w:rPr>
          <w:spacing w:val="-14"/>
        </w:rPr>
        <w:t> </w:t>
      </w:r>
      <w:r>
        <w:rPr/>
        <w:t>for</w:t>
      </w:r>
      <w:r>
        <w:rPr>
          <w:spacing w:val="-14"/>
        </w:rPr>
        <w:t> </w:t>
      </w:r>
      <w:r>
        <w:rPr/>
        <w:t>covered</w:t>
      </w:r>
      <w:r>
        <w:rPr>
          <w:spacing w:val="-12"/>
        </w:rPr>
        <w:t> </w:t>
      </w:r>
      <w:r>
        <w:rPr/>
        <w:t>spaces.</w:t>
      </w:r>
      <w:r>
        <w:rPr>
          <w:spacing w:val="-13"/>
        </w:rPr>
        <w:t> </w:t>
      </w:r>
      <w:r>
        <w:rPr/>
        <w:t>Other</w:t>
      </w:r>
      <w:r>
        <w:rPr>
          <w:spacing w:val="-14"/>
        </w:rPr>
        <w:t> </w:t>
      </w:r>
      <w:r>
        <w:rPr/>
        <w:t>additional</w:t>
      </w:r>
      <w:r>
        <w:rPr>
          <w:spacing w:val="-12"/>
        </w:rPr>
        <w:t> </w:t>
      </w:r>
      <w:r>
        <w:rPr/>
        <w:t>charges</w:t>
      </w:r>
      <w:r>
        <w:rPr>
          <w:spacing w:val="-13"/>
        </w:rPr>
        <w:t> </w:t>
      </w:r>
      <w:r>
        <w:rPr/>
        <w:t>include</w:t>
      </w:r>
      <w:r>
        <w:rPr>
          <w:spacing w:val="-14"/>
        </w:rPr>
        <w:t> </w:t>
      </w:r>
      <w:r>
        <w:rPr/>
        <w:t>pet</w:t>
      </w:r>
      <w:r>
        <w:rPr>
          <w:spacing w:val="-14"/>
        </w:rPr>
        <w:t> </w:t>
      </w:r>
      <w:r>
        <w:rPr/>
        <w:t>rent</w:t>
      </w:r>
      <w:r>
        <w:rPr>
          <w:spacing w:val="-12"/>
        </w:rPr>
        <w:t> </w:t>
      </w:r>
      <w:r>
        <w:rPr/>
        <w:t>and required renters’ insurance.</w:t>
      </w:r>
    </w:p>
    <w:p>
      <w:pPr>
        <w:pStyle w:val="Heading1"/>
        <w:spacing w:before="178"/>
      </w:pPr>
      <w:bookmarkStart w:name="Utilities, Appliances, and Amenities" w:id="24"/>
      <w:bookmarkEnd w:id="24"/>
      <w:r>
        <w:rPr>
          <w:i w:val="0"/>
        </w:rPr>
      </w:r>
      <w:r>
        <w:rPr/>
        <w:t>Utilities,</w:t>
      </w:r>
      <w:r>
        <w:rPr>
          <w:spacing w:val="6"/>
        </w:rPr>
        <w:t> </w:t>
      </w:r>
      <w:r>
        <w:rPr>
          <w:spacing w:val="9"/>
        </w:rPr>
        <w:t>Appliances,</w:t>
      </w:r>
      <w:r>
        <w:rPr>
          <w:spacing w:val="7"/>
        </w:rPr>
        <w:t> </w:t>
      </w:r>
      <w:r>
        <w:rPr/>
        <w:t>and</w:t>
      </w:r>
      <w:r>
        <w:rPr>
          <w:spacing w:val="6"/>
        </w:rPr>
        <w:t> </w:t>
      </w:r>
      <w:r>
        <w:rPr>
          <w:spacing w:val="-2"/>
        </w:rPr>
        <w:t>Amenities</w:t>
      </w:r>
    </w:p>
    <w:p>
      <w:pPr>
        <w:pStyle w:val="BodyText"/>
        <w:spacing w:line="288" w:lineRule="auto" w:before="48"/>
        <w:ind w:left="287" w:right="352"/>
      </w:pPr>
      <w:r>
        <w:rPr/>
        <w:t>As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/>
        <w:t>prior</w:t>
      </w:r>
      <w:r>
        <w:rPr>
          <w:spacing w:val="-9"/>
        </w:rPr>
        <w:t> </w:t>
      </w:r>
      <w:r>
        <w:rPr/>
        <w:t>years,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2025</w:t>
      </w:r>
      <w:r>
        <w:rPr>
          <w:spacing w:val="-9"/>
        </w:rPr>
        <w:t> </w:t>
      </w:r>
      <w:r>
        <w:rPr/>
        <w:t>survey</w:t>
      </w:r>
      <w:r>
        <w:rPr>
          <w:spacing w:val="-8"/>
        </w:rPr>
        <w:t> </w:t>
      </w:r>
      <w:r>
        <w:rPr/>
        <w:t>included</w:t>
      </w:r>
      <w:r>
        <w:rPr>
          <w:spacing w:val="-8"/>
        </w:rPr>
        <w:t> </w:t>
      </w:r>
      <w:r>
        <w:rPr/>
        <w:t>questions</w:t>
      </w:r>
      <w:r>
        <w:rPr>
          <w:spacing w:val="-8"/>
        </w:rPr>
        <w:t> </w:t>
      </w:r>
      <w:r>
        <w:rPr/>
        <w:t>regarding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/>
        <w:t>utilities,</w:t>
      </w:r>
      <w:r>
        <w:rPr>
          <w:spacing w:val="-8"/>
        </w:rPr>
        <w:t> </w:t>
      </w:r>
      <w:r>
        <w:rPr/>
        <w:t>appliances,</w:t>
      </w:r>
      <w:r>
        <w:rPr>
          <w:spacing w:val="-7"/>
        </w:rPr>
        <w:t> </w:t>
      </w:r>
      <w:r>
        <w:rPr/>
        <w:t>and amenities</w:t>
      </w:r>
      <w:r>
        <w:rPr>
          <w:spacing w:val="-13"/>
        </w:rPr>
        <w:t> </w:t>
      </w:r>
      <w:r>
        <w:rPr/>
        <w:t>that</w:t>
      </w:r>
      <w:r>
        <w:rPr>
          <w:spacing w:val="-14"/>
        </w:rPr>
        <w:t> </w:t>
      </w:r>
      <w:r>
        <w:rPr/>
        <w:t>are</w:t>
      </w:r>
      <w:r>
        <w:rPr>
          <w:spacing w:val="-13"/>
        </w:rPr>
        <w:t> </w:t>
      </w:r>
      <w:r>
        <w:rPr/>
        <w:t>provided</w:t>
      </w:r>
      <w:r>
        <w:rPr>
          <w:spacing w:val="-13"/>
        </w:rPr>
        <w:t> </w:t>
      </w:r>
      <w:r>
        <w:rPr/>
        <w:t>at</w:t>
      </w:r>
      <w:r>
        <w:rPr>
          <w:spacing w:val="-14"/>
        </w:rPr>
        <w:t> </w:t>
      </w:r>
      <w:r>
        <w:rPr/>
        <w:t>no</w:t>
      </w:r>
      <w:r>
        <w:rPr>
          <w:spacing w:val="-13"/>
        </w:rPr>
        <w:t> </w:t>
      </w:r>
      <w:r>
        <w:rPr/>
        <w:t>additional</w:t>
      </w:r>
      <w:r>
        <w:rPr>
          <w:spacing w:val="-13"/>
        </w:rPr>
        <w:t> </w:t>
      </w:r>
      <w:r>
        <w:rPr/>
        <w:t>charge</w:t>
      </w:r>
      <w:r>
        <w:rPr>
          <w:spacing w:val="-12"/>
        </w:rPr>
        <w:t> </w:t>
      </w:r>
      <w:r>
        <w:rPr/>
        <w:t>(i.e.,</w:t>
      </w:r>
      <w:r>
        <w:rPr>
          <w:spacing w:val="-13"/>
        </w:rPr>
        <w:t> </w:t>
      </w:r>
      <w:r>
        <w:rPr/>
        <w:t>included</w:t>
      </w:r>
      <w:r>
        <w:rPr>
          <w:spacing w:val="-13"/>
        </w:rPr>
        <w:t> </w:t>
      </w:r>
      <w:r>
        <w:rPr/>
        <w:t>in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monthly</w:t>
      </w:r>
      <w:r>
        <w:rPr>
          <w:spacing w:val="-13"/>
        </w:rPr>
        <w:t> </w:t>
      </w:r>
      <w:r>
        <w:rPr/>
        <w:t>rental</w:t>
      </w:r>
      <w:r>
        <w:rPr>
          <w:spacing w:val="-13"/>
        </w:rPr>
        <w:t> </w:t>
      </w:r>
      <w:r>
        <w:rPr/>
        <w:t>rate). As shown</w:t>
      </w:r>
      <w:r>
        <w:rPr>
          <w:spacing w:val="-1"/>
        </w:rPr>
        <w:t> </w:t>
      </w:r>
      <w:r>
        <w:rPr/>
        <w:t>in Figure 5, below, between 55</w:t>
      </w:r>
      <w:r>
        <w:rPr>
          <w:spacing w:val="-1"/>
        </w:rPr>
        <w:t> </w:t>
      </w:r>
      <w:r>
        <w:rPr/>
        <w:t>and 62 percent</w:t>
      </w:r>
      <w:r>
        <w:rPr>
          <w:spacing w:val="-1"/>
        </w:rPr>
        <w:t> </w:t>
      </w:r>
      <w:r>
        <w:rPr/>
        <w:t>of respondent complexes include water, sewer, and trash collection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rent, which is comparable</w:t>
      </w:r>
      <w:r>
        <w:rPr>
          <w:spacing w:val="-1"/>
        </w:rPr>
        <w:t> </w:t>
      </w:r>
      <w:r>
        <w:rPr/>
        <w:t>to historic</w:t>
      </w:r>
      <w:r>
        <w:rPr>
          <w:spacing w:val="-1"/>
        </w:rPr>
        <w:t> </w:t>
      </w:r>
      <w:r>
        <w:rPr/>
        <w:t>averages.</w:t>
      </w:r>
    </w:p>
    <w:p>
      <w:pPr>
        <w:spacing w:before="187"/>
        <w:ind w:left="288" w:right="0" w:firstLine="0"/>
        <w:jc w:val="left"/>
        <w:rPr>
          <w:i/>
          <w:sz w:val="22"/>
        </w:rPr>
      </w:pPr>
      <w:bookmarkStart w:name="Figure 5:  Percent of Respondents Includ" w:id="25"/>
      <w:bookmarkEnd w:id="25"/>
      <w:r>
        <w:rPr/>
      </w:r>
      <w:r>
        <w:rPr>
          <w:i/>
          <w:sz w:val="22"/>
        </w:rPr>
        <w:t>Figure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5: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Percent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Respondents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Including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Utilities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Rent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Utility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Type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Lease</w:t>
      </w:r>
      <w:r>
        <w:rPr>
          <w:i/>
          <w:spacing w:val="-8"/>
          <w:sz w:val="22"/>
        </w:rPr>
        <w:t> </w:t>
      </w:r>
      <w:r>
        <w:rPr>
          <w:i/>
          <w:spacing w:val="-4"/>
          <w:sz w:val="22"/>
        </w:rPr>
        <w:t>Type</w:t>
      </w:r>
    </w:p>
    <w:p>
      <w:pPr>
        <w:pStyle w:val="BodyText"/>
        <w:rPr>
          <w:i/>
          <w:sz w:val="18"/>
        </w:rPr>
      </w:pPr>
    </w:p>
    <w:p>
      <w:pPr>
        <w:spacing w:before="1"/>
        <w:ind w:left="108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1944623</wp:posOffset>
                </wp:positionH>
                <wp:positionV relativeFrom="paragraph">
                  <wp:posOffset>-46431</wp:posOffset>
                </wp:positionV>
                <wp:extent cx="4280535" cy="1365885"/>
                <wp:effectExtent l="0" t="0" r="0" b="0"/>
                <wp:wrapNone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4280535" cy="1365885"/>
                          <a:chExt cx="4280535" cy="1365885"/>
                        </a:xfrm>
                      </wpg:grpSpPr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0153" cy="1365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Textbox 70"/>
                        <wps:cNvSpPr txBox="1"/>
                        <wps:spPr>
                          <a:xfrm>
                            <a:off x="151862" y="385950"/>
                            <a:ext cx="1460500" cy="212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88" w:val="left" w:leader="none"/>
                                  <w:tab w:pos="1617" w:val="left" w:leader="none"/>
                                </w:tabs>
                                <w:spacing w:line="135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position w:val="-7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position w:val="1"/>
                                  <w:sz w:val="18"/>
                                </w:rPr>
                                <w:t>62%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position w:val="1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62%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position w:val="-7"/>
                                  <w:sz w:val="18"/>
                                </w:rPr>
                                <w:t>57%</w:t>
                              </w:r>
                            </w:p>
                            <w:p>
                              <w:pPr>
                                <w:tabs>
                                  <w:tab w:pos="1174" w:val="left" w:leader="none"/>
                                  <w:tab w:pos="1967" w:val="left" w:leader="none"/>
                                </w:tabs>
                                <w:spacing w:line="216" w:lineRule="auto" w:before="0"/>
                                <w:ind w:left="349" w:right="0" w:firstLine="0"/>
                                <w:jc w:val="left"/>
                                <w:rPr>
                                  <w:rFonts w:ascii="Calibri"/>
                                  <w:position w:val="12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position w:val="2"/>
                                  <w:sz w:val="18"/>
                                </w:rPr>
                                <w:t>54%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position w:val="2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55%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position w:val="12"/>
                                  <w:sz w:val="18"/>
                                </w:rPr>
                                <w:t>60%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3234305" y="444243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57%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3442331" y="696503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37%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2206748" y="969223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14%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2720526" y="969223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14%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3748083" y="969223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14%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1722001" y="1085923"/>
                            <a:ext cx="360680" cy="1200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position w:val="1"/>
                                  <w:sz w:val="18"/>
                                </w:rPr>
                                <w:t>5%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66"/>
                                  <w:position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2443806" y="1104783"/>
                            <a:ext cx="1524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2971758" y="1104783"/>
                            <a:ext cx="1524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3956567" y="1117927"/>
                            <a:ext cx="1524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3.119995pt;margin-top:-3.655996pt;width:337.05pt;height:107.55pt;mso-position-horizontal-relative:page;mso-position-vertical-relative:paragraph;z-index:15738880" id="docshapegroup58" coordorigin="3062,-73" coordsize="6741,2151">
                <v:shape style="position:absolute;left:3062;top:-74;width:6741;height:2151" type="#_x0000_t75" id="docshape59" stroked="false">
                  <v:imagedata r:id="rId46" o:title=""/>
                </v:shape>
                <v:shape style="position:absolute;left:3301;top:534;width:2300;height:335" type="#_x0000_t202" id="docshape60" filled="false" stroked="false">
                  <v:textbox inset="0,0,0,0">
                    <w:txbxContent>
                      <w:p>
                        <w:pPr>
                          <w:tabs>
                            <w:tab w:pos="788" w:val="left" w:leader="none"/>
                            <w:tab w:pos="1617" w:val="left" w:leader="none"/>
                          </w:tabs>
                          <w:spacing w:line="135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position w:val="-7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position w:val="1"/>
                            <w:sz w:val="18"/>
                          </w:rPr>
                          <w:t>62%</w:t>
                        </w:r>
                        <w:r>
                          <w:rPr>
                            <w:rFonts w:ascii="Calibri"/>
                            <w:color w:val="404040"/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62%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position w:val="-7"/>
                            <w:sz w:val="18"/>
                          </w:rPr>
                          <w:t>57%</w:t>
                        </w:r>
                      </w:p>
                      <w:p>
                        <w:pPr>
                          <w:tabs>
                            <w:tab w:pos="1174" w:val="left" w:leader="none"/>
                            <w:tab w:pos="1967" w:val="left" w:leader="none"/>
                          </w:tabs>
                          <w:spacing w:line="216" w:lineRule="auto" w:before="0"/>
                          <w:ind w:left="349" w:right="0" w:firstLine="0"/>
                          <w:jc w:val="left"/>
                          <w:rPr>
                            <w:rFonts w:ascii="Calibri"/>
                            <w:position w:val="12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position w:val="2"/>
                            <w:sz w:val="18"/>
                          </w:rPr>
                          <w:t>54%</w:t>
                        </w:r>
                        <w:r>
                          <w:rPr>
                            <w:rFonts w:ascii="Calibri"/>
                            <w:color w:val="404040"/>
                            <w:position w:val="2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55%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position w:val="12"/>
                            <w:sz w:val="18"/>
                          </w:rPr>
                          <w:t>60%</w:t>
                        </w:r>
                      </w:p>
                    </w:txbxContent>
                  </v:textbox>
                  <w10:wrap type="none"/>
                </v:shape>
                <v:shape style="position:absolute;left:8155;top:626;width:332;height:180" type="#_x0000_t202" id="docshape6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57%</w:t>
                        </w:r>
                      </w:p>
                    </w:txbxContent>
                  </v:textbox>
                  <w10:wrap type="none"/>
                </v:shape>
                <v:shape style="position:absolute;left:8483;top:1023;width:332;height:180" type="#_x0000_t202" id="docshape6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37%</w:t>
                        </w:r>
                      </w:p>
                    </w:txbxContent>
                  </v:textbox>
                  <w10:wrap type="none"/>
                </v:shape>
                <v:shape style="position:absolute;left:6537;top:1453;width:332;height:180" type="#_x0000_t202" id="docshape6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14%</w:t>
                        </w:r>
                      </w:p>
                    </w:txbxContent>
                  </v:textbox>
                  <w10:wrap type="none"/>
                </v:shape>
                <v:shape style="position:absolute;left:7346;top:1453;width:332;height:180" type="#_x0000_t202" id="docshape6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14%</w:t>
                        </w:r>
                      </w:p>
                    </w:txbxContent>
                  </v:textbox>
                  <w10:wrap type="none"/>
                </v:shape>
                <v:shape style="position:absolute;left:8964;top:1453;width:332;height:180" type="#_x0000_t202" id="docshape6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14%</w:t>
                        </w:r>
                      </w:p>
                    </w:txbxContent>
                  </v:textbox>
                  <w10:wrap type="none"/>
                </v:shape>
                <v:shape style="position:absolute;left:5774;top:1637;width:568;height:189" type="#_x0000_t202" id="docshape66" filled="false" stroked="false">
                  <v:textbox inset="0,0,0,0">
                    <w:txbxContent>
                      <w:p>
                        <w:pPr>
                          <w:spacing w:line="18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position w:val="1"/>
                            <w:sz w:val="18"/>
                          </w:rPr>
                          <w:t>5%</w:t>
                        </w:r>
                        <w:r>
                          <w:rPr>
                            <w:rFonts w:ascii="Calibri"/>
                            <w:color w:val="404040"/>
                            <w:spacing w:val="66"/>
                            <w:position w:val="1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4%</w:t>
                        </w:r>
                      </w:p>
                    </w:txbxContent>
                  </v:textbox>
                  <w10:wrap type="none"/>
                </v:shape>
                <v:shape style="position:absolute;left:6910;top:1666;width:240;height:180" type="#_x0000_t202" id="docshape6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3%</w:t>
                        </w:r>
                      </w:p>
                    </w:txbxContent>
                  </v:textbox>
                  <w10:wrap type="none"/>
                </v:shape>
                <v:shape style="position:absolute;left:7742;top:1666;width:240;height:180" type="#_x0000_t202" id="docshape6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3%</w:t>
                        </w:r>
                      </w:p>
                    </w:txbxContent>
                  </v:textbox>
                  <w10:wrap type="none"/>
                </v:shape>
                <v:shape style="position:absolute;left:9293;top:1687;width:240;height:180" type="#_x0000_t202" id="docshape6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2%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585858"/>
          <w:spacing w:val="-4"/>
          <w:sz w:val="18"/>
        </w:rPr>
        <w:t>100%</w:t>
      </w:r>
    </w:p>
    <w:p>
      <w:pPr>
        <w:spacing w:before="166"/>
        <w:ind w:left="1180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80%</w:t>
      </w:r>
    </w:p>
    <w:p>
      <w:pPr>
        <w:spacing w:before="166"/>
        <w:ind w:left="1180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60%</w:t>
      </w:r>
    </w:p>
    <w:p>
      <w:pPr>
        <w:spacing w:before="166"/>
        <w:ind w:left="1180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40%</w:t>
      </w:r>
    </w:p>
    <w:p>
      <w:pPr>
        <w:spacing w:before="166"/>
        <w:ind w:left="1180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20%</w:t>
      </w:r>
    </w:p>
    <w:p>
      <w:pPr>
        <w:spacing w:before="166"/>
        <w:ind w:left="1271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1998592</wp:posOffset>
            </wp:positionH>
            <wp:positionV relativeFrom="paragraph">
              <wp:posOffset>290594</wp:posOffset>
            </wp:positionV>
            <wp:extent cx="238170" cy="223837"/>
            <wp:effectExtent l="0" t="0" r="0" b="0"/>
            <wp:wrapTopAndBottom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70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18"/>
        </w:rPr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2522820</wp:posOffset>
            </wp:positionH>
            <wp:positionV relativeFrom="paragraph">
              <wp:posOffset>290818</wp:posOffset>
            </wp:positionV>
            <wp:extent cx="1269723" cy="723900"/>
            <wp:effectExtent l="0" t="0" r="0" b="0"/>
            <wp:wrapTopAndBottom/>
            <wp:docPr id="81" name="Image 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" name="Image 81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723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18"/>
        </w:rPr>
        <w:drawing>
          <wp:anchor distT="0" distB="0" distL="0" distR="0" allowOverlap="1" layoutInCell="1" locked="0" behindDoc="1" simplePos="0" relativeHeight="487596544">
            <wp:simplePos x="0" y="0"/>
            <wp:positionH relativeFrom="page">
              <wp:posOffset>3942189</wp:posOffset>
            </wp:positionH>
            <wp:positionV relativeFrom="paragraph">
              <wp:posOffset>279940</wp:posOffset>
            </wp:positionV>
            <wp:extent cx="1386268" cy="857250"/>
            <wp:effectExtent l="0" t="0" r="0" b="0"/>
            <wp:wrapTopAndBottom/>
            <wp:docPr id="82" name="Image 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" name="Image 82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268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18"/>
        </w:rPr>
        <w:drawing>
          <wp:anchor distT="0" distB="0" distL="0" distR="0" allowOverlap="1" layoutInCell="1" locked="0" behindDoc="1" simplePos="0" relativeHeight="487597056">
            <wp:simplePos x="0" y="0"/>
            <wp:positionH relativeFrom="page">
              <wp:posOffset>5622334</wp:posOffset>
            </wp:positionH>
            <wp:positionV relativeFrom="paragraph">
              <wp:posOffset>290997</wp:posOffset>
            </wp:positionV>
            <wp:extent cx="209456" cy="210026"/>
            <wp:effectExtent l="0" t="0" r="0" b="0"/>
            <wp:wrapTopAndBottom/>
            <wp:docPr id="83" name="Image 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" name="Image 83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456" cy="210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585858"/>
          <w:spacing w:val="-5"/>
          <w:sz w:val="18"/>
        </w:rPr>
        <w:t>0%</w:t>
      </w:r>
    </w:p>
    <w:p>
      <w:pPr>
        <w:spacing w:before="199"/>
        <w:ind w:left="2841" w:right="0" w:firstLine="0"/>
        <w:jc w:val="left"/>
        <w:rPr>
          <w:rFonts w:ascii="Calibri"/>
          <w:sz w:val="20"/>
        </w:rPr>
      </w:pPr>
      <w:r>
        <w:rPr/>
        <w:drawing>
          <wp:inline distT="0" distB="0" distL="0" distR="0">
            <wp:extent cx="69748" cy="69748"/>
            <wp:effectExtent l="0" t="0" r="0" b="0"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48" cy="6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4"/>
          <w:sz w:val="20"/>
        </w:rPr>
        <w:t> </w:t>
      </w:r>
      <w:r>
        <w:rPr>
          <w:rFonts w:ascii="Calibri"/>
          <w:color w:val="585858"/>
          <w:sz w:val="20"/>
        </w:rPr>
        <w:t>Bed</w:t>
      </w:r>
      <w:r>
        <w:rPr>
          <w:rFonts w:ascii="Calibri"/>
          <w:color w:val="585858"/>
          <w:spacing w:val="-2"/>
          <w:sz w:val="20"/>
        </w:rPr>
        <w:t> </w:t>
      </w:r>
      <w:r>
        <w:rPr>
          <w:rFonts w:ascii="Calibri"/>
          <w:color w:val="585858"/>
          <w:sz w:val="20"/>
        </w:rPr>
        <w:t>Leases</w:t>
      </w:r>
      <w:r>
        <w:rPr>
          <w:rFonts w:ascii="Calibri"/>
          <w:color w:val="585858"/>
          <w:spacing w:val="80"/>
          <w:w w:val="150"/>
          <w:sz w:val="20"/>
        </w:rPr>
        <w:t> </w:t>
      </w:r>
      <w:r>
        <w:rPr>
          <w:rFonts w:ascii="Calibri"/>
          <w:color w:val="585858"/>
          <w:spacing w:val="13"/>
          <w:sz w:val="20"/>
        </w:rPr>
        <w:drawing>
          <wp:inline distT="0" distB="0" distL="0" distR="0">
            <wp:extent cx="69748" cy="69748"/>
            <wp:effectExtent l="0" t="0" r="0" b="0"/>
            <wp:docPr id="85" name="Image 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5" name="Image 85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48" cy="6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color w:val="585858"/>
          <w:spacing w:val="13"/>
          <w:sz w:val="20"/>
        </w:rPr>
      </w:r>
      <w:r>
        <w:rPr>
          <w:rFonts w:ascii="Times New Roman"/>
          <w:color w:val="585858"/>
          <w:spacing w:val="-16"/>
          <w:sz w:val="20"/>
        </w:rPr>
        <w:t> </w:t>
      </w:r>
      <w:r>
        <w:rPr>
          <w:rFonts w:ascii="Calibri"/>
          <w:color w:val="585858"/>
          <w:sz w:val="20"/>
        </w:rPr>
        <w:t>Unit</w:t>
      </w:r>
      <w:r>
        <w:rPr>
          <w:rFonts w:ascii="Calibri"/>
          <w:color w:val="585858"/>
          <w:spacing w:val="-2"/>
          <w:sz w:val="20"/>
        </w:rPr>
        <w:t> </w:t>
      </w:r>
      <w:r>
        <w:rPr>
          <w:rFonts w:ascii="Calibri"/>
          <w:color w:val="585858"/>
          <w:sz w:val="20"/>
        </w:rPr>
        <w:t>Leases</w:t>
      </w:r>
    </w:p>
    <w:p>
      <w:pPr>
        <w:spacing w:before="60"/>
        <w:ind w:left="288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Source:</w:t>
      </w:r>
      <w:r>
        <w:rPr>
          <w:rFonts w:ascii="Arial MT"/>
          <w:spacing w:val="36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5"/>
          <w:sz w:val="16"/>
        </w:rPr>
        <w:t> </w:t>
      </w:r>
      <w:r>
        <w:rPr>
          <w:rFonts w:ascii="Arial MT"/>
          <w:spacing w:val="-4"/>
          <w:sz w:val="16"/>
        </w:rPr>
        <w:t>2025.</w:t>
      </w:r>
    </w:p>
    <w:p>
      <w:pPr>
        <w:pStyle w:val="BodyText"/>
        <w:spacing w:before="11"/>
        <w:rPr>
          <w:rFonts w:ascii="Arial MT"/>
          <w:sz w:val="10"/>
        </w:rPr>
      </w:pPr>
      <w:r>
        <w:rPr>
          <w:rFonts w:ascii="Arial MT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1097280</wp:posOffset>
                </wp:positionH>
                <wp:positionV relativeFrom="paragraph">
                  <wp:posOffset>95549</wp:posOffset>
                </wp:positionV>
                <wp:extent cx="1828800" cy="6985"/>
                <wp:effectExtent l="0" t="0" r="0" b="0"/>
                <wp:wrapTopAndBottom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18288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98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858"/>
                              </a:lnTo>
                              <a:lnTo>
                                <a:pt x="1828800" y="6858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6.400002pt;margin-top:7.52355pt;width:144pt;height:.54pt;mso-position-horizontal-relative:page;mso-position-vertical-relative:paragraph;z-index:-15718912;mso-wrap-distance-left:0;mso-wrap-distance-right:0" id="docshape7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96"/>
        <w:rPr>
          <w:rFonts w:ascii="Arial MT"/>
          <w:sz w:val="20"/>
        </w:rPr>
      </w:pPr>
    </w:p>
    <w:p>
      <w:pPr>
        <w:spacing w:line="276" w:lineRule="auto" w:before="0"/>
        <w:ind w:left="288" w:right="383" w:hanging="1"/>
        <w:jc w:val="left"/>
        <w:rPr>
          <w:sz w:val="20"/>
        </w:rPr>
      </w:pPr>
      <w:bookmarkStart w:name="_bookmark7" w:id="26"/>
      <w:bookmarkEnd w:id="26"/>
      <w:r>
        <w:rPr/>
      </w:r>
      <w:r>
        <w:rPr>
          <w:position w:val="5"/>
          <w:sz w:val="13"/>
        </w:rPr>
        <w:t>8</w:t>
      </w:r>
      <w:r>
        <w:rPr>
          <w:spacing w:val="4"/>
          <w:position w:val="5"/>
          <w:sz w:val="13"/>
        </w:rPr>
        <w:t> </w:t>
      </w:r>
      <w:r>
        <w:rPr>
          <w:sz w:val="20"/>
        </w:rPr>
        <w:t>Properties</w:t>
      </w:r>
      <w:r>
        <w:rPr>
          <w:spacing w:val="-13"/>
          <w:sz w:val="20"/>
        </w:rPr>
        <w:t> </w:t>
      </w:r>
      <w:r>
        <w:rPr>
          <w:sz w:val="20"/>
        </w:rPr>
        <w:t>that</w:t>
      </w:r>
      <w:r>
        <w:rPr>
          <w:spacing w:val="-12"/>
          <w:sz w:val="20"/>
        </w:rPr>
        <w:t> </w:t>
      </w:r>
      <w:r>
        <w:rPr>
          <w:sz w:val="20"/>
        </w:rPr>
        <w:t>charge</w:t>
      </w:r>
      <w:r>
        <w:rPr>
          <w:spacing w:val="-12"/>
          <w:sz w:val="20"/>
        </w:rPr>
        <w:t> </w:t>
      </w:r>
      <w:r>
        <w:rPr>
          <w:sz w:val="20"/>
        </w:rPr>
        <w:t>utility</w:t>
      </w:r>
      <w:r>
        <w:rPr>
          <w:spacing w:val="-12"/>
          <w:sz w:val="20"/>
        </w:rPr>
        <w:t> </w:t>
      </w:r>
      <w:r>
        <w:rPr>
          <w:sz w:val="20"/>
        </w:rPr>
        <w:t>fees</w:t>
      </w:r>
      <w:r>
        <w:rPr>
          <w:spacing w:val="-13"/>
          <w:sz w:val="20"/>
        </w:rPr>
        <w:t> </w:t>
      </w:r>
      <w:r>
        <w:rPr>
          <w:sz w:val="20"/>
        </w:rPr>
        <w:t>on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pass-through</w:t>
      </w:r>
      <w:r>
        <w:rPr>
          <w:spacing w:val="-13"/>
          <w:sz w:val="20"/>
        </w:rPr>
        <w:t> </w:t>
      </w:r>
      <w:r>
        <w:rPr>
          <w:sz w:val="20"/>
        </w:rPr>
        <w:t>basis</w:t>
      </w:r>
      <w:r>
        <w:rPr>
          <w:spacing w:val="-11"/>
          <w:sz w:val="20"/>
        </w:rPr>
        <w:t> </w:t>
      </w:r>
      <w:r>
        <w:rPr>
          <w:sz w:val="20"/>
        </w:rPr>
        <w:t>independently</w:t>
      </w:r>
      <w:r>
        <w:rPr>
          <w:spacing w:val="-12"/>
          <w:sz w:val="20"/>
        </w:rPr>
        <w:t> </w:t>
      </w:r>
      <w:r>
        <w:rPr>
          <w:sz w:val="20"/>
        </w:rPr>
        <w:t>meter</w:t>
      </w:r>
      <w:r>
        <w:rPr>
          <w:spacing w:val="-12"/>
          <w:sz w:val="20"/>
        </w:rPr>
        <w:t> </w:t>
      </w:r>
      <w:r>
        <w:rPr>
          <w:sz w:val="20"/>
        </w:rPr>
        <w:t>utility</w:t>
      </w:r>
      <w:r>
        <w:rPr>
          <w:spacing w:val="-12"/>
          <w:sz w:val="20"/>
        </w:rPr>
        <w:t> </w:t>
      </w:r>
      <w:r>
        <w:rPr>
          <w:sz w:val="20"/>
        </w:rPr>
        <w:t>usage</w:t>
      </w:r>
      <w:r>
        <w:rPr>
          <w:spacing w:val="-12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unit and</w:t>
      </w:r>
      <w:r>
        <w:rPr>
          <w:spacing w:val="-1"/>
          <w:sz w:val="20"/>
        </w:rPr>
        <w:t> </w:t>
      </w:r>
      <w:r>
        <w:rPr>
          <w:sz w:val="20"/>
        </w:rPr>
        <w:t>pass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utility</w:t>
      </w:r>
      <w:r>
        <w:rPr>
          <w:spacing w:val="-1"/>
          <w:sz w:val="20"/>
        </w:rPr>
        <w:t> </w:t>
      </w:r>
      <w:r>
        <w:rPr>
          <w:sz w:val="20"/>
        </w:rPr>
        <w:t>charge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tenants (e.g.,</w:t>
      </w:r>
      <w:r>
        <w:rPr>
          <w:spacing w:val="-2"/>
          <w:sz w:val="20"/>
        </w:rPr>
        <w:t> </w:t>
      </w:r>
      <w:r>
        <w:rPr>
          <w:sz w:val="20"/>
        </w:rPr>
        <w:t>Ratio</w:t>
      </w:r>
      <w:r>
        <w:rPr>
          <w:spacing w:val="-1"/>
          <w:sz w:val="20"/>
        </w:rPr>
        <w:t> </w:t>
      </w:r>
      <w:r>
        <w:rPr>
          <w:sz w:val="20"/>
        </w:rPr>
        <w:t>Utility</w:t>
      </w:r>
      <w:r>
        <w:rPr>
          <w:spacing w:val="-1"/>
          <w:sz w:val="20"/>
        </w:rPr>
        <w:t> </w:t>
      </w:r>
      <w:r>
        <w:rPr>
          <w:sz w:val="20"/>
        </w:rPr>
        <w:t>Billing</w:t>
      </w:r>
      <w:r>
        <w:rPr>
          <w:spacing w:val="-1"/>
          <w:sz w:val="20"/>
        </w:rPr>
        <w:t> </w:t>
      </w:r>
      <w:r>
        <w:rPr>
          <w:sz w:val="20"/>
        </w:rPr>
        <w:t>System,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RUBS).</w:t>
      </w:r>
    </w:p>
    <w:p>
      <w:pPr>
        <w:spacing w:after="0" w:line="276" w:lineRule="auto"/>
        <w:jc w:val="left"/>
        <w:rPr>
          <w:sz w:val="20"/>
        </w:rPr>
        <w:sectPr>
          <w:pgSz w:w="12240" w:h="15840"/>
          <w:pgMar w:header="0" w:footer="794" w:top="1700" w:bottom="980" w:left="1440" w:right="1440"/>
        </w:sectPr>
      </w:pPr>
    </w:p>
    <w:p>
      <w:pPr>
        <w:pStyle w:val="BodyText"/>
        <w:spacing w:line="288" w:lineRule="auto" w:before="78"/>
        <w:ind w:left="288" w:right="324"/>
      </w:pPr>
      <w:r>
        <w:rPr/>
        <w:t>Figure 6</w:t>
      </w:r>
      <w:r>
        <w:rPr>
          <w:spacing w:val="-2"/>
        </w:rPr>
        <w:t> </w:t>
      </w:r>
      <w:r>
        <w:rPr/>
        <w:t>illustrates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types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appliances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other</w:t>
      </w:r>
      <w:r>
        <w:rPr>
          <w:spacing w:val="-2"/>
        </w:rPr>
        <w:t> </w:t>
      </w:r>
      <w:r>
        <w:rPr/>
        <w:t>amenities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provided.</w:t>
      </w:r>
      <w:r>
        <w:rPr>
          <w:spacing w:val="-1"/>
        </w:rPr>
        <w:t> </w:t>
      </w:r>
      <w:r>
        <w:rPr/>
        <w:t>Nearly all respondent</w:t>
      </w:r>
      <w:r>
        <w:rPr>
          <w:spacing w:val="-14"/>
        </w:rPr>
        <w:t> </w:t>
      </w:r>
      <w:r>
        <w:rPr/>
        <w:t>complexes</w:t>
      </w:r>
      <w:r>
        <w:rPr>
          <w:spacing w:val="-14"/>
        </w:rPr>
        <w:t> </w:t>
      </w:r>
      <w:r>
        <w:rPr/>
        <w:t>include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refrigerator,</w:t>
      </w:r>
      <w:r>
        <w:rPr>
          <w:spacing w:val="-14"/>
        </w:rPr>
        <w:t> </w:t>
      </w:r>
      <w:r>
        <w:rPr/>
        <w:t>stove/oven,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/>
        <w:t>air</w:t>
      </w:r>
      <w:r>
        <w:rPr>
          <w:spacing w:val="-14"/>
        </w:rPr>
        <w:t> </w:t>
      </w:r>
      <w:r>
        <w:rPr/>
        <w:t>conditioning</w:t>
      </w:r>
      <w:r>
        <w:rPr>
          <w:spacing w:val="-13"/>
        </w:rPr>
        <w:t> </w:t>
      </w:r>
      <w:r>
        <w:rPr/>
        <w:t>unit</w:t>
      </w:r>
      <w:r>
        <w:rPr>
          <w:spacing w:val="-14"/>
        </w:rPr>
        <w:t> </w:t>
      </w:r>
      <w:r>
        <w:rPr/>
        <w:t>at</w:t>
      </w:r>
      <w:r>
        <w:rPr>
          <w:spacing w:val="-14"/>
        </w:rPr>
        <w:t> </w:t>
      </w:r>
      <w:r>
        <w:rPr/>
        <w:t>no</w:t>
      </w:r>
      <w:r>
        <w:rPr>
          <w:spacing w:val="-13"/>
        </w:rPr>
        <w:t> </w:t>
      </w:r>
      <w:r>
        <w:rPr/>
        <w:t>extra charge.</w:t>
      </w:r>
      <w:r>
        <w:rPr>
          <w:spacing w:val="-1"/>
        </w:rPr>
        <w:t> </w:t>
      </w:r>
      <w:r>
        <w:rPr/>
        <w:t>Approximately 90</w:t>
      </w:r>
      <w:r>
        <w:rPr>
          <w:spacing w:val="-1"/>
        </w:rPr>
        <w:t> </w:t>
      </w:r>
      <w:r>
        <w:rPr/>
        <w:t>percent</w:t>
      </w:r>
      <w:r>
        <w:rPr>
          <w:spacing w:val="-2"/>
        </w:rPr>
        <w:t> </w:t>
      </w:r>
      <w:r>
        <w:rPr/>
        <w:t>of bed</w:t>
      </w:r>
      <w:r>
        <w:rPr>
          <w:spacing w:val="-1"/>
        </w:rPr>
        <w:t> </w:t>
      </w:r>
      <w:r>
        <w:rPr/>
        <w:t>leasing</w:t>
      </w:r>
      <w:r>
        <w:rPr>
          <w:spacing w:val="-1"/>
        </w:rPr>
        <w:t> </w:t>
      </w:r>
      <w:r>
        <w:rPr/>
        <w:t>properties</w:t>
      </w:r>
      <w:r>
        <w:rPr>
          <w:spacing w:val="-1"/>
        </w:rPr>
        <w:t> </w:t>
      </w:r>
      <w:r>
        <w:rPr/>
        <w:t>and 72</w:t>
      </w:r>
      <w:r>
        <w:rPr>
          <w:spacing w:val="-2"/>
        </w:rPr>
        <w:t> </w:t>
      </w:r>
      <w:r>
        <w:rPr/>
        <w:t>percent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unit</w:t>
      </w:r>
      <w:r>
        <w:rPr>
          <w:spacing w:val="-2"/>
        </w:rPr>
        <w:t> </w:t>
      </w:r>
      <w:r>
        <w:rPr/>
        <w:t>lease properties</w:t>
      </w:r>
      <w:r>
        <w:rPr>
          <w:spacing w:val="-1"/>
        </w:rPr>
        <w:t> </w:t>
      </w:r>
      <w:r>
        <w:rPr/>
        <w:t>include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dishwasher,</w:t>
      </w:r>
      <w:r>
        <w:rPr>
          <w:spacing w:val="-1"/>
        </w:rPr>
        <w:t> </w:t>
      </w:r>
      <w:r>
        <w:rPr/>
        <w:t>while</w:t>
      </w:r>
      <w:r>
        <w:rPr>
          <w:spacing w:val="-2"/>
        </w:rPr>
        <w:t> </w:t>
      </w:r>
      <w:r>
        <w:rPr/>
        <w:t>86</w:t>
      </w:r>
      <w:r>
        <w:rPr>
          <w:spacing w:val="-2"/>
        </w:rPr>
        <w:t> </w:t>
      </w:r>
      <w:r>
        <w:rPr/>
        <w:t>percent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bed</w:t>
      </w:r>
      <w:r>
        <w:rPr>
          <w:spacing w:val="-1"/>
        </w:rPr>
        <w:t> </w:t>
      </w:r>
      <w:r>
        <w:rPr/>
        <w:t>lease properties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54</w:t>
      </w:r>
      <w:r>
        <w:rPr>
          <w:spacing w:val="-2"/>
        </w:rPr>
        <w:t> </w:t>
      </w:r>
      <w:r>
        <w:rPr/>
        <w:t>percent</w:t>
      </w:r>
      <w:r>
        <w:rPr>
          <w:spacing w:val="-2"/>
        </w:rPr>
        <w:t> </w:t>
      </w:r>
      <w:r>
        <w:rPr/>
        <w:t>of unit</w:t>
      </w:r>
      <w:r>
        <w:rPr>
          <w:spacing w:val="-6"/>
        </w:rPr>
        <w:t> </w:t>
      </w:r>
      <w:r>
        <w:rPr/>
        <w:t>lease</w:t>
      </w:r>
      <w:r>
        <w:rPr>
          <w:spacing w:val="-6"/>
        </w:rPr>
        <w:t> </w:t>
      </w:r>
      <w:r>
        <w:rPr/>
        <w:t>properties</w:t>
      </w:r>
      <w:r>
        <w:rPr>
          <w:spacing w:val="-5"/>
        </w:rPr>
        <w:t> </w:t>
      </w:r>
      <w:r>
        <w:rPr/>
        <w:t>include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microwave.</w:t>
      </w:r>
      <w:r>
        <w:rPr>
          <w:spacing w:val="-5"/>
        </w:rPr>
        <w:t> </w:t>
      </w:r>
      <w:r>
        <w:rPr/>
        <w:t>Roughly</w:t>
      </w:r>
      <w:r>
        <w:rPr>
          <w:spacing w:val="-5"/>
        </w:rPr>
        <w:t> </w:t>
      </w:r>
      <w:r>
        <w:rPr/>
        <w:t>half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bed</w:t>
      </w:r>
      <w:r>
        <w:rPr>
          <w:spacing w:val="-5"/>
        </w:rPr>
        <w:t> </w:t>
      </w:r>
      <w:r>
        <w:rPr/>
        <w:t>lease</w:t>
      </w:r>
      <w:r>
        <w:rPr>
          <w:spacing w:val="-5"/>
        </w:rPr>
        <w:t> </w:t>
      </w:r>
      <w:r>
        <w:rPr/>
        <w:t>complexes,</w:t>
      </w:r>
      <w:r>
        <w:rPr>
          <w:spacing w:val="-5"/>
        </w:rPr>
        <w:t> </w:t>
      </w:r>
      <w:r>
        <w:rPr/>
        <w:t>but</w:t>
      </w:r>
      <w:r>
        <w:rPr>
          <w:spacing w:val="-5"/>
        </w:rPr>
        <w:t> </w:t>
      </w:r>
      <w:r>
        <w:rPr/>
        <w:t>only around 25 percent of unit lease complexes, provide in-unit laundry.</w:t>
      </w:r>
    </w:p>
    <w:p>
      <w:pPr>
        <w:spacing w:before="188"/>
        <w:ind w:left="288" w:right="0" w:firstLine="0"/>
        <w:jc w:val="left"/>
        <w:rPr>
          <w:i/>
          <w:sz w:val="22"/>
        </w:rPr>
      </w:pPr>
      <w:bookmarkStart w:name="Figure 6:  Percent of Respondents Includ" w:id="27"/>
      <w:bookmarkEnd w:id="27"/>
      <w:r>
        <w:rPr/>
      </w:r>
      <w:r>
        <w:rPr>
          <w:i/>
          <w:sz w:val="22"/>
        </w:rPr>
        <w:t>Figure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6: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Percent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Respondents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Including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Appliances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Lease</w:t>
      </w:r>
      <w:r>
        <w:rPr>
          <w:i/>
          <w:spacing w:val="-9"/>
          <w:sz w:val="22"/>
        </w:rPr>
        <w:t> </w:t>
      </w:r>
      <w:r>
        <w:rPr>
          <w:i/>
          <w:spacing w:val="-4"/>
          <w:sz w:val="22"/>
        </w:rPr>
        <w:t>Type</w:t>
      </w:r>
    </w:p>
    <w:p>
      <w:pPr>
        <w:pStyle w:val="BodyText"/>
        <w:spacing w:before="205"/>
        <w:rPr>
          <w:i/>
        </w:rPr>
      </w:pPr>
    </w:p>
    <w:p>
      <w:pPr>
        <w:spacing w:before="0"/>
        <w:ind w:left="0" w:right="7839" w:firstLine="0"/>
        <w:jc w:val="right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1961388</wp:posOffset>
                </wp:positionH>
                <wp:positionV relativeFrom="paragraph">
                  <wp:posOffset>-130030</wp:posOffset>
                </wp:positionV>
                <wp:extent cx="4182745" cy="1503045"/>
                <wp:effectExtent l="0" t="0" r="0" b="0"/>
                <wp:wrapNone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4182745" cy="1503045"/>
                          <a:chExt cx="4182745" cy="1503045"/>
                        </a:xfrm>
                      </wpg:grpSpPr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4792"/>
                            <a:ext cx="4182617" cy="14279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Textbox 89"/>
                        <wps:cNvSpPr txBox="1"/>
                        <wps:spPr>
                          <a:xfrm>
                            <a:off x="177441" y="60921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95%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399183" y="177507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87%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677390" y="0"/>
                            <a:ext cx="882650" cy="210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67" w:val="left" w:leader="none"/>
                                </w:tabs>
                                <w:spacing w:line="149" w:lineRule="exact" w:before="0"/>
                                <w:ind w:left="0" w:right="18" w:firstLine="0"/>
                                <w:jc w:val="center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4"/>
                                  <w:sz w:val="18"/>
                                </w:rPr>
                                <w:t>100%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4"/>
                                  <w:sz w:val="18"/>
                                </w:rPr>
                                <w:t>100%</w:t>
                              </w:r>
                            </w:p>
                            <w:p>
                              <w:pPr>
                                <w:spacing w:line="182" w:lineRule="exact" w:before="0"/>
                                <w:ind w:left="0" w:right="107" w:firstLine="0"/>
                                <w:jc w:val="center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92%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1570758" y="134988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91%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1892170" y="182765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86%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2463784" y="121843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90%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2713987" y="382562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72%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2142373" y="591502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54%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3035399" y="670140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48%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3285601" y="975436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25%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3635931" y="1224381"/>
                            <a:ext cx="288925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7" w:lineRule="auto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4"/>
                                  <w:position w:val="-8"/>
                                  <w:sz w:val="18"/>
                                </w:rPr>
                                <w:t>0%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4"/>
                                  <w:sz w:val="18"/>
                                </w:rPr>
                                <w:t>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440002pt;margin-top:-10.238653pt;width:329.35pt;height:118.35pt;mso-position-horizontal-relative:page;mso-position-vertical-relative:paragraph;z-index:15742464" id="docshapegroup71" coordorigin="3089,-205" coordsize="6587,2367">
                <v:shape style="position:absolute;left:3088;top:-87;width:6587;height:2249" type="#_x0000_t75" id="docshape72" stroked="false">
                  <v:imagedata r:id="rId53" o:title=""/>
                </v:shape>
                <v:shape style="position:absolute;left:3368;top:-109;width:332;height:180" type="#_x0000_t202" id="docshape7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95%</w:t>
                        </w:r>
                      </w:p>
                    </w:txbxContent>
                  </v:textbox>
                  <w10:wrap type="none"/>
                </v:shape>
                <v:shape style="position:absolute;left:3717;top:74;width:332;height:180" type="#_x0000_t202" id="docshape7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87%</w:t>
                        </w:r>
                      </w:p>
                    </w:txbxContent>
                  </v:textbox>
                  <w10:wrap type="none"/>
                </v:shape>
                <v:shape style="position:absolute;left:4155;top:-205;width:1390;height:332" type="#_x0000_t202" id="docshape75" filled="false" stroked="false">
                  <v:textbox inset="0,0,0,0">
                    <w:txbxContent>
                      <w:p>
                        <w:pPr>
                          <w:tabs>
                            <w:tab w:pos="967" w:val="left" w:leader="none"/>
                          </w:tabs>
                          <w:spacing w:line="149" w:lineRule="exact" w:before="0"/>
                          <w:ind w:left="0" w:right="18" w:firstLine="0"/>
                          <w:jc w:val="center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4"/>
                            <w:sz w:val="18"/>
                          </w:rPr>
                          <w:t>100%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404040"/>
                            <w:spacing w:val="-4"/>
                            <w:sz w:val="18"/>
                          </w:rPr>
                          <w:t>100%</w:t>
                        </w:r>
                      </w:p>
                      <w:p>
                        <w:pPr>
                          <w:spacing w:line="182" w:lineRule="exact" w:before="0"/>
                          <w:ind w:left="0" w:right="107" w:firstLine="0"/>
                          <w:jc w:val="center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92%</w:t>
                        </w:r>
                      </w:p>
                    </w:txbxContent>
                  </v:textbox>
                  <w10:wrap type="none"/>
                </v:shape>
                <v:shape style="position:absolute;left:5562;top:7;width:332;height:180" type="#_x0000_t202" id="docshape7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91%</w:t>
                        </w:r>
                      </w:p>
                    </w:txbxContent>
                  </v:textbox>
                  <w10:wrap type="none"/>
                </v:shape>
                <v:shape style="position:absolute;left:6068;top:83;width:332;height:180" type="#_x0000_t202" id="docshape7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86%</w:t>
                        </w:r>
                      </w:p>
                    </w:txbxContent>
                  </v:textbox>
                  <w10:wrap type="none"/>
                </v:shape>
                <v:shape style="position:absolute;left:6968;top:-13;width:332;height:180" type="#_x0000_t202" id="docshape7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90%</w:t>
                        </w:r>
                      </w:p>
                    </w:txbxContent>
                  </v:textbox>
                  <w10:wrap type="none"/>
                </v:shape>
                <v:shape style="position:absolute;left:7362;top:397;width:332;height:180" type="#_x0000_t202" id="docshape7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72%</w:t>
                        </w:r>
                      </w:p>
                    </w:txbxContent>
                  </v:textbox>
                  <w10:wrap type="none"/>
                </v:shape>
                <v:shape style="position:absolute;left:6462;top:726;width:332;height:180" type="#_x0000_t202" id="docshape80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54%</w:t>
                        </w:r>
                      </w:p>
                    </w:txbxContent>
                  </v:textbox>
                  <w10:wrap type="none"/>
                </v:shape>
                <v:shape style="position:absolute;left:7868;top:850;width:332;height:180" type="#_x0000_t202" id="docshape8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48%</w:t>
                        </w:r>
                      </w:p>
                    </w:txbxContent>
                  </v:textbox>
                  <w10:wrap type="none"/>
                </v:shape>
                <v:shape style="position:absolute;left:8262;top:1331;width:332;height:180" type="#_x0000_t202" id="docshape8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25%</w:t>
                        </w:r>
                      </w:p>
                    </w:txbxContent>
                  </v:textbox>
                  <w10:wrap type="none"/>
                </v:shape>
                <v:shape style="position:absolute;left:8814;top:1723;width:455;height:267" type="#_x0000_t202" id="docshape83" filled="false" stroked="false">
                  <v:textbox inset="0,0,0,0">
                    <w:txbxContent>
                      <w:p>
                        <w:pPr>
                          <w:spacing w:line="187" w:lineRule="auto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4"/>
                            <w:position w:val="-8"/>
                            <w:sz w:val="18"/>
                          </w:rPr>
                          <w:t>0%</w:t>
                        </w:r>
                        <w:r>
                          <w:rPr>
                            <w:rFonts w:ascii="Calibri"/>
                            <w:color w:val="404040"/>
                            <w:spacing w:val="-4"/>
                            <w:sz w:val="18"/>
                          </w:rPr>
                          <w:t>4%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585858"/>
          <w:spacing w:val="-4"/>
          <w:sz w:val="18"/>
        </w:rPr>
        <w:t>100%</w:t>
      </w:r>
    </w:p>
    <w:p>
      <w:pPr>
        <w:spacing w:before="183"/>
        <w:ind w:left="0" w:right="7839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80%</w:t>
      </w:r>
    </w:p>
    <w:p>
      <w:pPr>
        <w:spacing w:before="184"/>
        <w:ind w:left="0" w:right="7839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60%</w:t>
      </w:r>
    </w:p>
    <w:p>
      <w:pPr>
        <w:spacing w:before="183"/>
        <w:ind w:left="0" w:right="7839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40%</w:t>
      </w:r>
    </w:p>
    <w:p>
      <w:pPr>
        <w:spacing w:before="183"/>
        <w:ind w:left="0" w:right="7839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20%</w:t>
      </w:r>
    </w:p>
    <w:p>
      <w:pPr>
        <w:spacing w:before="183"/>
        <w:ind w:left="0" w:right="7839" w:firstLine="0"/>
        <w:jc w:val="right"/>
        <w:rPr>
          <w:rFonts w:ascii="Calibri"/>
          <w:sz w:val="18"/>
        </w:rPr>
      </w:pPr>
      <w:r>
        <w:rPr>
          <w:rFonts w:ascii="Calibri"/>
          <w:sz w:val="18"/>
        </w:rPr>
        <w:drawing>
          <wp:anchor distT="0" distB="0" distL="0" distR="0" allowOverlap="1" layoutInCell="1" locked="0" behindDoc="1" simplePos="0" relativeHeight="487598592">
            <wp:simplePos x="0" y="0"/>
            <wp:positionH relativeFrom="page">
              <wp:posOffset>1736486</wp:posOffset>
            </wp:positionH>
            <wp:positionV relativeFrom="paragraph">
              <wp:posOffset>302923</wp:posOffset>
            </wp:positionV>
            <wp:extent cx="566061" cy="561975"/>
            <wp:effectExtent l="0" t="0" r="0" b="0"/>
            <wp:wrapTopAndBottom/>
            <wp:docPr id="100" name="Image 1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0" name="Image 100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061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18"/>
        </w:rPr>
        <w:drawing>
          <wp:anchor distT="0" distB="0" distL="0" distR="0" allowOverlap="1" layoutInCell="1" locked="0" behindDoc="1" simplePos="0" relativeHeight="487599104">
            <wp:simplePos x="0" y="0"/>
            <wp:positionH relativeFrom="page">
              <wp:posOffset>2428661</wp:posOffset>
            </wp:positionH>
            <wp:positionV relativeFrom="paragraph">
              <wp:posOffset>302098</wp:posOffset>
            </wp:positionV>
            <wp:extent cx="423369" cy="423862"/>
            <wp:effectExtent l="0" t="0" r="0" b="0"/>
            <wp:wrapTopAndBottom/>
            <wp:docPr id="101" name="Image 10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1" name="Image 101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369" cy="423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18"/>
        </w:rPr>
        <w:drawing>
          <wp:anchor distT="0" distB="0" distL="0" distR="0" allowOverlap="1" layoutInCell="1" locked="0" behindDoc="1" simplePos="0" relativeHeight="487599616">
            <wp:simplePos x="0" y="0"/>
            <wp:positionH relativeFrom="page">
              <wp:posOffset>3014019</wp:posOffset>
            </wp:positionH>
            <wp:positionV relativeFrom="paragraph">
              <wp:posOffset>311928</wp:posOffset>
            </wp:positionV>
            <wp:extent cx="420649" cy="404812"/>
            <wp:effectExtent l="0" t="0" r="0" b="0"/>
            <wp:wrapTopAndBottom/>
            <wp:docPr id="102" name="Image 10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2" name="Image 102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49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18"/>
        </w:rPr>
        <w:drawing>
          <wp:anchor distT="0" distB="0" distL="0" distR="0" allowOverlap="1" layoutInCell="1" locked="0" behindDoc="1" simplePos="0" relativeHeight="487600128">
            <wp:simplePos x="0" y="0"/>
            <wp:positionH relativeFrom="page">
              <wp:posOffset>3604688</wp:posOffset>
            </wp:positionH>
            <wp:positionV relativeFrom="paragraph">
              <wp:posOffset>311353</wp:posOffset>
            </wp:positionV>
            <wp:extent cx="402355" cy="385762"/>
            <wp:effectExtent l="0" t="0" r="0" b="0"/>
            <wp:wrapTopAndBottom/>
            <wp:docPr id="103" name="Image 1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3" name="Image 103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55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18"/>
        </w:rPr>
        <w:drawing>
          <wp:anchor distT="0" distB="0" distL="0" distR="0" allowOverlap="1" layoutInCell="1" locked="0" behindDoc="1" simplePos="0" relativeHeight="487600640">
            <wp:simplePos x="0" y="0"/>
            <wp:positionH relativeFrom="page">
              <wp:posOffset>4160475</wp:posOffset>
            </wp:positionH>
            <wp:positionV relativeFrom="paragraph">
              <wp:posOffset>295388</wp:posOffset>
            </wp:positionV>
            <wp:extent cx="990646" cy="771525"/>
            <wp:effectExtent l="0" t="0" r="0" b="0"/>
            <wp:wrapTopAndBottom/>
            <wp:docPr id="104" name="Image 1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4" name="Image 104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46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18"/>
        </w:rPr>
        <w:drawing>
          <wp:anchor distT="0" distB="0" distL="0" distR="0" allowOverlap="1" layoutInCell="1" locked="0" behindDoc="1" simplePos="0" relativeHeight="487601152">
            <wp:simplePos x="0" y="0"/>
            <wp:positionH relativeFrom="page">
              <wp:posOffset>5501259</wp:posOffset>
            </wp:positionH>
            <wp:positionV relativeFrom="paragraph">
              <wp:posOffset>302180</wp:posOffset>
            </wp:positionV>
            <wp:extent cx="208981" cy="209550"/>
            <wp:effectExtent l="0" t="0" r="0" b="0"/>
            <wp:wrapTopAndBottom/>
            <wp:docPr id="105" name="Image 10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5" name="Image 105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981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585858"/>
          <w:spacing w:val="-5"/>
          <w:sz w:val="18"/>
        </w:rPr>
        <w:t>0%</w:t>
      </w:r>
    </w:p>
    <w:p>
      <w:pPr>
        <w:tabs>
          <w:tab w:pos="3852" w:val="left" w:leader="none"/>
        </w:tabs>
        <w:spacing w:before="77"/>
        <w:ind w:left="2583" w:right="0" w:firstLine="0"/>
        <w:jc w:val="left"/>
        <w:rPr>
          <w:rFonts w:ascii="Calibri"/>
          <w:sz w:val="20"/>
        </w:rPr>
      </w:pPr>
      <w:r>
        <w:rPr/>
        <w:drawing>
          <wp:inline distT="0" distB="0" distL="0" distR="0">
            <wp:extent cx="69748" cy="69748"/>
            <wp:effectExtent l="0" t="0" r="0" b="0"/>
            <wp:docPr id="106" name="Image 1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6" name="Image 106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48" cy="6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"/>
          <w:sz w:val="20"/>
        </w:rPr>
        <w:t> </w:t>
      </w:r>
      <w:r>
        <w:rPr>
          <w:rFonts w:ascii="Calibri"/>
          <w:color w:val="585858"/>
          <w:sz w:val="20"/>
        </w:rPr>
        <w:t>Bed Leases</w:t>
        <w:tab/>
      </w:r>
      <w:r>
        <w:rPr>
          <w:rFonts w:ascii="Calibri"/>
          <w:color w:val="585858"/>
          <w:sz w:val="20"/>
        </w:rPr>
        <w:drawing>
          <wp:inline distT="0" distB="0" distL="0" distR="0">
            <wp:extent cx="69748" cy="69748"/>
            <wp:effectExtent l="0" t="0" r="0" b="0"/>
            <wp:docPr id="107" name="Image 1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7" name="Image 107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48" cy="6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color w:val="585858"/>
          <w:sz w:val="20"/>
        </w:rPr>
      </w:r>
      <w:r>
        <w:rPr>
          <w:rFonts w:ascii="Times New Roman"/>
          <w:color w:val="585858"/>
          <w:spacing w:val="-1"/>
          <w:sz w:val="20"/>
        </w:rPr>
        <w:t> </w:t>
      </w:r>
      <w:r>
        <w:rPr>
          <w:rFonts w:ascii="Calibri"/>
          <w:color w:val="585858"/>
          <w:sz w:val="20"/>
        </w:rPr>
        <w:t>Unit Leases</w:t>
      </w:r>
    </w:p>
    <w:p>
      <w:pPr>
        <w:spacing w:before="78"/>
        <w:ind w:left="288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Source:</w:t>
      </w:r>
      <w:r>
        <w:rPr>
          <w:rFonts w:ascii="Arial MT"/>
          <w:spacing w:val="36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5"/>
          <w:sz w:val="16"/>
        </w:rPr>
        <w:t> </w:t>
      </w:r>
      <w:r>
        <w:rPr>
          <w:rFonts w:ascii="Arial MT"/>
          <w:spacing w:val="-4"/>
          <w:sz w:val="16"/>
        </w:rPr>
        <w:t>2025.</w:t>
      </w:r>
    </w:p>
    <w:p>
      <w:pPr>
        <w:pStyle w:val="BodyText"/>
        <w:spacing w:before="97"/>
        <w:rPr>
          <w:rFonts w:ascii="Arial MT"/>
        </w:rPr>
      </w:pPr>
    </w:p>
    <w:p>
      <w:pPr>
        <w:pStyle w:val="BodyText"/>
        <w:spacing w:line="288" w:lineRule="auto"/>
        <w:ind w:left="287" w:right="288"/>
      </w:pPr>
      <w:r>
        <w:rPr/>
        <w:t>The 2025 survey also questioned respondents regarding the amenities offered on-site, such</w:t>
      </w:r>
      <w:r>
        <w:rPr/>
        <w:t> as</w:t>
      </w:r>
      <w:r>
        <w:rPr>
          <w:spacing w:val="-1"/>
        </w:rPr>
        <w:t> </w:t>
      </w:r>
      <w:r>
        <w:rPr/>
        <w:t>gym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pool</w:t>
      </w:r>
      <w:r>
        <w:rPr>
          <w:spacing w:val="-1"/>
        </w:rPr>
        <w:t> </w:t>
      </w:r>
      <w:r>
        <w:rPr/>
        <w:t>facilities,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provided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property</w:t>
      </w:r>
      <w:r>
        <w:rPr>
          <w:spacing w:val="-1"/>
        </w:rPr>
        <w:t> </w:t>
      </w:r>
      <w:r>
        <w:rPr/>
        <w:t>management</w:t>
      </w:r>
      <w:r>
        <w:rPr>
          <w:spacing w:val="-2"/>
        </w:rPr>
        <w:t> </w:t>
      </w:r>
      <w:r>
        <w:rPr/>
        <w:t>staff,</w:t>
      </w:r>
      <w:r>
        <w:rPr>
          <w:spacing w:val="-1"/>
        </w:rPr>
        <w:t> </w:t>
      </w:r>
      <w:r>
        <w:rPr/>
        <w:t>such</w:t>
      </w:r>
      <w:r>
        <w:rPr>
          <w:spacing w:val="-1"/>
        </w:rPr>
        <w:t> </w:t>
      </w:r>
      <w:r>
        <w:rPr/>
        <w:t>as package</w:t>
      </w:r>
      <w:r>
        <w:rPr>
          <w:spacing w:val="-9"/>
        </w:rPr>
        <w:t> </w:t>
      </w:r>
      <w:r>
        <w:rPr/>
        <w:t>service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organized</w:t>
      </w:r>
      <w:r>
        <w:rPr>
          <w:spacing w:val="-8"/>
        </w:rPr>
        <w:t> </w:t>
      </w:r>
      <w:r>
        <w:rPr/>
        <w:t>social</w:t>
      </w:r>
      <w:r>
        <w:rPr>
          <w:spacing w:val="-7"/>
        </w:rPr>
        <w:t> </w:t>
      </w:r>
      <w:r>
        <w:rPr/>
        <w:t>activities.</w:t>
      </w:r>
      <w:r>
        <w:rPr>
          <w:spacing w:val="-8"/>
        </w:rPr>
        <w:t> </w:t>
      </w:r>
      <w:r>
        <w:rPr/>
        <w:t>Figure</w:t>
      </w:r>
      <w:r>
        <w:rPr>
          <w:spacing w:val="-7"/>
        </w:rPr>
        <w:t> </w:t>
      </w:r>
      <w:r>
        <w:rPr/>
        <w:t>7,</w:t>
      </w:r>
      <w:r>
        <w:rPr>
          <w:spacing w:val="-8"/>
        </w:rPr>
        <w:t> </w:t>
      </w:r>
      <w:r>
        <w:rPr/>
        <w:t>on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following</w:t>
      </w:r>
      <w:r>
        <w:rPr>
          <w:spacing w:val="-8"/>
        </w:rPr>
        <w:t> </w:t>
      </w:r>
      <w:r>
        <w:rPr/>
        <w:t>page,</w:t>
      </w:r>
      <w:r>
        <w:rPr>
          <w:spacing w:val="-8"/>
        </w:rPr>
        <w:t> </w:t>
      </w:r>
      <w:r>
        <w:rPr/>
        <w:t>illustrates</w:t>
      </w:r>
      <w:r>
        <w:rPr>
          <w:spacing w:val="-8"/>
        </w:rPr>
        <w:t> </w:t>
      </w:r>
      <w:r>
        <w:rPr/>
        <w:t>the prevalence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these</w:t>
      </w:r>
      <w:r>
        <w:rPr>
          <w:spacing w:val="-14"/>
        </w:rPr>
        <w:t> </w:t>
      </w:r>
      <w:r>
        <w:rPr/>
        <w:t>amenities,</w:t>
      </w:r>
      <w:r>
        <w:rPr>
          <w:spacing w:val="-13"/>
        </w:rPr>
        <w:t> </w:t>
      </w:r>
      <w:r>
        <w:rPr/>
        <w:t>differentiating</w:t>
      </w:r>
      <w:r>
        <w:rPr>
          <w:spacing w:val="-14"/>
        </w:rPr>
        <w:t> </w:t>
      </w:r>
      <w:r>
        <w:rPr/>
        <w:t>between</w:t>
      </w:r>
      <w:r>
        <w:rPr>
          <w:spacing w:val="-14"/>
        </w:rPr>
        <w:t> </w:t>
      </w:r>
      <w:r>
        <w:rPr/>
        <w:t>complexes</w:t>
      </w:r>
      <w:r>
        <w:rPr>
          <w:spacing w:val="-14"/>
        </w:rPr>
        <w:t> </w:t>
      </w:r>
      <w:r>
        <w:rPr/>
        <w:t>that</w:t>
      </w:r>
      <w:r>
        <w:rPr>
          <w:spacing w:val="-13"/>
        </w:rPr>
        <w:t> </w:t>
      </w:r>
      <w:r>
        <w:rPr/>
        <w:t>offer</w:t>
      </w:r>
      <w:r>
        <w:rPr>
          <w:spacing w:val="-14"/>
        </w:rPr>
        <w:t> </w:t>
      </w:r>
      <w:r>
        <w:rPr/>
        <w:t>unit</w:t>
      </w:r>
      <w:r>
        <w:rPr>
          <w:spacing w:val="-14"/>
        </w:rPr>
        <w:t> </w:t>
      </w:r>
      <w:r>
        <w:rPr/>
        <w:t>leases</w:t>
      </w:r>
      <w:r>
        <w:rPr>
          <w:spacing w:val="-14"/>
        </w:rPr>
        <w:t> </w:t>
      </w:r>
      <w:r>
        <w:rPr/>
        <w:t>versus bed</w:t>
      </w:r>
      <w:r>
        <w:rPr>
          <w:spacing w:val="-9"/>
        </w:rPr>
        <w:t> </w:t>
      </w:r>
      <w:r>
        <w:rPr/>
        <w:t>leases.</w:t>
      </w:r>
      <w:r>
        <w:rPr>
          <w:spacing w:val="-8"/>
        </w:rPr>
        <w:t> </w:t>
      </w:r>
      <w:r>
        <w:rPr/>
        <w:t>Overall,</w:t>
      </w:r>
      <w:r>
        <w:rPr>
          <w:spacing w:val="-9"/>
        </w:rPr>
        <w:t> </w:t>
      </w:r>
      <w:r>
        <w:rPr/>
        <w:t>respondents</w:t>
      </w:r>
      <w:r>
        <w:rPr>
          <w:spacing w:val="-9"/>
        </w:rPr>
        <w:t> </w:t>
      </w:r>
      <w:r>
        <w:rPr/>
        <w:t>that</w:t>
      </w:r>
      <w:r>
        <w:rPr>
          <w:spacing w:val="-9"/>
        </w:rPr>
        <w:t> </w:t>
      </w:r>
      <w:r>
        <w:rPr/>
        <w:t>offer</w:t>
      </w:r>
      <w:r>
        <w:rPr>
          <w:spacing w:val="-10"/>
        </w:rPr>
        <w:t> </w:t>
      </w:r>
      <w:r>
        <w:rPr/>
        <w:t>unit</w:t>
      </w:r>
      <w:r>
        <w:rPr>
          <w:spacing w:val="-10"/>
        </w:rPr>
        <w:t> </w:t>
      </w:r>
      <w:r>
        <w:rPr/>
        <w:t>leases</w:t>
      </w:r>
      <w:r>
        <w:rPr>
          <w:spacing w:val="-9"/>
        </w:rPr>
        <w:t> </w:t>
      </w:r>
      <w:r>
        <w:rPr/>
        <w:t>generally</w:t>
      </w:r>
      <w:r>
        <w:rPr>
          <w:spacing w:val="-9"/>
        </w:rPr>
        <w:t> </w:t>
      </w:r>
      <w:r>
        <w:rPr/>
        <w:t>tend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offer</w:t>
      </w:r>
      <w:r>
        <w:rPr>
          <w:spacing w:val="-10"/>
        </w:rPr>
        <w:t> </w:t>
      </w:r>
      <w:r>
        <w:rPr/>
        <w:t>fewer</w:t>
      </w:r>
      <w:r>
        <w:rPr>
          <w:spacing w:val="-10"/>
        </w:rPr>
        <w:t> </w:t>
      </w:r>
      <w:r>
        <w:rPr/>
        <w:t>amenities. For</w:t>
      </w:r>
      <w:r>
        <w:rPr>
          <w:spacing w:val="-1"/>
        </w:rPr>
        <w:t> </w:t>
      </w:r>
      <w:r>
        <w:rPr/>
        <w:t>example, 55</w:t>
      </w:r>
      <w:r>
        <w:rPr>
          <w:spacing w:val="-1"/>
        </w:rPr>
        <w:t> </w:t>
      </w:r>
      <w:r>
        <w:rPr/>
        <w:t>percent offer</w:t>
      </w:r>
      <w:r>
        <w:rPr>
          <w:spacing w:val="-1"/>
        </w:rPr>
        <w:t> </w:t>
      </w:r>
      <w:r>
        <w:rPr/>
        <w:t>a pool and/or</w:t>
      </w:r>
      <w:r>
        <w:rPr>
          <w:spacing w:val="-1"/>
        </w:rPr>
        <w:t> </w:t>
      </w:r>
      <w:r>
        <w:rPr/>
        <w:t>hot tub, while</w:t>
      </w:r>
      <w:r>
        <w:rPr>
          <w:spacing w:val="-1"/>
        </w:rPr>
        <w:t> </w:t>
      </w:r>
      <w:r>
        <w:rPr/>
        <w:t>57</w:t>
      </w:r>
      <w:r>
        <w:rPr>
          <w:spacing w:val="-1"/>
        </w:rPr>
        <w:t> </w:t>
      </w:r>
      <w:r>
        <w:rPr/>
        <w:t>percent</w:t>
      </w:r>
      <w:r>
        <w:rPr>
          <w:spacing w:val="-1"/>
        </w:rPr>
        <w:t> </w:t>
      </w:r>
      <w:r>
        <w:rPr/>
        <w:t>offer a picnic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BBQ area,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43</w:t>
      </w:r>
      <w:r>
        <w:rPr>
          <w:spacing w:val="-3"/>
        </w:rPr>
        <w:t> </w:t>
      </w:r>
      <w:r>
        <w:rPr/>
        <w:t>percent</w:t>
      </w:r>
      <w:r>
        <w:rPr>
          <w:spacing w:val="-3"/>
        </w:rPr>
        <w:t> </w:t>
      </w:r>
      <w:r>
        <w:rPr/>
        <w:t>offer</w:t>
      </w:r>
      <w:r>
        <w:rPr>
          <w:spacing w:val="-3"/>
        </w:rPr>
        <w:t> </w:t>
      </w:r>
      <w:r>
        <w:rPr/>
        <w:t>on-site</w:t>
      </w:r>
      <w:r>
        <w:rPr>
          <w:spacing w:val="-3"/>
        </w:rPr>
        <w:t> </w:t>
      </w:r>
      <w:r>
        <w:rPr/>
        <w:t>gym</w:t>
      </w:r>
      <w:r>
        <w:rPr>
          <w:spacing w:val="-2"/>
        </w:rPr>
        <w:t> </w:t>
      </w:r>
      <w:r>
        <w:rPr/>
        <w:t>facilities.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most</w:t>
      </w:r>
      <w:r>
        <w:rPr>
          <w:spacing w:val="-3"/>
        </w:rPr>
        <w:t> </w:t>
      </w:r>
      <w:r>
        <w:rPr/>
        <w:t>prevalent</w:t>
      </w:r>
      <w:r>
        <w:rPr>
          <w:spacing w:val="-3"/>
        </w:rPr>
        <w:t> </w:t>
      </w:r>
      <w:r>
        <w:rPr/>
        <w:t>amenity</w:t>
      </w:r>
      <w:r>
        <w:rPr>
          <w:spacing w:val="-2"/>
        </w:rPr>
        <w:t> </w:t>
      </w:r>
      <w:r>
        <w:rPr/>
        <w:t>offered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unit lease</w:t>
      </w:r>
      <w:r>
        <w:rPr>
          <w:spacing w:val="-2"/>
        </w:rPr>
        <w:t> </w:t>
      </w:r>
      <w:r>
        <w:rPr/>
        <w:t>complexes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on-site</w:t>
      </w:r>
      <w:r>
        <w:rPr>
          <w:spacing w:val="-2"/>
        </w:rPr>
        <w:t> </w:t>
      </w:r>
      <w:r>
        <w:rPr/>
        <w:t>laundry</w:t>
      </w:r>
      <w:r>
        <w:rPr>
          <w:spacing w:val="-1"/>
        </w:rPr>
        <w:t> </w:t>
      </w:r>
      <w:r>
        <w:rPr/>
        <w:t>facility.</w:t>
      </w:r>
      <w:r>
        <w:rPr>
          <w:spacing w:val="-1"/>
        </w:rPr>
        <w:t> </w:t>
      </w:r>
      <w:r>
        <w:rPr/>
        <w:t>Respondents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offer</w:t>
      </w:r>
      <w:r>
        <w:rPr>
          <w:spacing w:val="-2"/>
        </w:rPr>
        <w:t> </w:t>
      </w:r>
      <w:r>
        <w:rPr/>
        <w:t>bed</w:t>
      </w:r>
      <w:r>
        <w:rPr>
          <w:spacing w:val="-1"/>
        </w:rPr>
        <w:t> </w:t>
      </w:r>
      <w:r>
        <w:rPr/>
        <w:t>leases</w:t>
      </w:r>
      <w:r>
        <w:rPr>
          <w:spacing w:val="-1"/>
        </w:rPr>
        <w:t> </w:t>
      </w:r>
      <w:r>
        <w:rPr/>
        <w:t>were</w:t>
      </w:r>
      <w:r>
        <w:rPr>
          <w:spacing w:val="-2"/>
        </w:rPr>
        <w:t> </w:t>
      </w:r>
      <w:r>
        <w:rPr/>
        <w:t>more likely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offer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wider</w:t>
      </w:r>
      <w:r>
        <w:rPr>
          <w:spacing w:val="-14"/>
        </w:rPr>
        <w:t> </w:t>
      </w:r>
      <w:r>
        <w:rPr/>
        <w:t>assortment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on-site</w:t>
      </w:r>
      <w:r>
        <w:rPr>
          <w:spacing w:val="-13"/>
        </w:rPr>
        <w:t> </w:t>
      </w:r>
      <w:r>
        <w:rPr/>
        <w:t>amenities,</w:t>
      </w:r>
      <w:r>
        <w:rPr>
          <w:spacing w:val="-14"/>
        </w:rPr>
        <w:t> </w:t>
      </w:r>
      <w:r>
        <w:rPr/>
        <w:t>with</w:t>
      </w:r>
      <w:r>
        <w:rPr>
          <w:spacing w:val="-14"/>
        </w:rPr>
        <w:t> </w:t>
      </w:r>
      <w:r>
        <w:rPr/>
        <w:t>most</w:t>
      </w:r>
      <w:r>
        <w:rPr>
          <w:spacing w:val="-14"/>
        </w:rPr>
        <w:t> </w:t>
      </w:r>
      <w:r>
        <w:rPr/>
        <w:t>respondents</w:t>
      </w:r>
      <w:r>
        <w:rPr>
          <w:spacing w:val="-13"/>
        </w:rPr>
        <w:t> </w:t>
      </w:r>
      <w:r>
        <w:rPr/>
        <w:t>offering</w:t>
      </w:r>
      <w:r>
        <w:rPr>
          <w:spacing w:val="-14"/>
        </w:rPr>
        <w:t> </w:t>
      </w:r>
      <w:r>
        <w:rPr/>
        <w:t>multiple types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equipment,</w:t>
      </w:r>
      <w:r>
        <w:rPr>
          <w:spacing w:val="-3"/>
        </w:rPr>
        <w:t> </w:t>
      </w:r>
      <w:r>
        <w:rPr/>
        <w:t>facilities,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services.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example,</w:t>
      </w:r>
      <w:r>
        <w:rPr>
          <w:spacing w:val="-3"/>
        </w:rPr>
        <w:t> </w:t>
      </w:r>
      <w:r>
        <w:rPr/>
        <w:t>86</w:t>
      </w:r>
      <w:r>
        <w:rPr>
          <w:spacing w:val="-4"/>
        </w:rPr>
        <w:t> </w:t>
      </w:r>
      <w:r>
        <w:rPr/>
        <w:t>percent</w:t>
      </w:r>
      <w:r>
        <w:rPr>
          <w:spacing w:val="-4"/>
        </w:rPr>
        <w:t> </w:t>
      </w:r>
      <w:r>
        <w:rPr/>
        <w:t>include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pool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hot</w:t>
      </w:r>
      <w:r>
        <w:rPr>
          <w:spacing w:val="-2"/>
        </w:rPr>
        <w:t> </w:t>
      </w:r>
      <w:r>
        <w:rPr/>
        <w:t>tub and a picnic/BBQ</w:t>
      </w:r>
      <w:r>
        <w:rPr>
          <w:spacing w:val="-1"/>
        </w:rPr>
        <w:t> </w:t>
      </w:r>
      <w:r>
        <w:rPr/>
        <w:t>area, 81</w:t>
      </w:r>
      <w:r>
        <w:rPr>
          <w:spacing w:val="-1"/>
        </w:rPr>
        <w:t> </w:t>
      </w:r>
      <w:r>
        <w:rPr/>
        <w:t>percent</w:t>
      </w:r>
      <w:r>
        <w:rPr>
          <w:spacing w:val="-1"/>
        </w:rPr>
        <w:t> </w:t>
      </w:r>
      <w:r>
        <w:rPr/>
        <w:t>of complexes include</w:t>
      </w:r>
      <w:r>
        <w:rPr>
          <w:spacing w:val="-1"/>
        </w:rPr>
        <w:t> </w:t>
      </w:r>
      <w:r>
        <w:rPr/>
        <w:t>a picnic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onsite</w:t>
      </w:r>
      <w:r>
        <w:rPr>
          <w:spacing w:val="-1"/>
        </w:rPr>
        <w:t> </w:t>
      </w:r>
      <w:r>
        <w:rPr/>
        <w:t>gym, and 67 percent include a clubhouse. Of the respondents who offered other additional services, most offer study lounges, pet amenities, and bike parking.</w:t>
      </w:r>
    </w:p>
    <w:p>
      <w:pPr>
        <w:pStyle w:val="BodyText"/>
        <w:spacing w:after="0" w:line="288" w:lineRule="auto"/>
        <w:sectPr>
          <w:pgSz w:w="12240" w:h="15840"/>
          <w:pgMar w:header="0" w:footer="794" w:top="1700" w:bottom="980" w:left="1440" w:right="1440"/>
        </w:sectPr>
      </w:pPr>
    </w:p>
    <w:p>
      <w:pPr>
        <w:spacing w:before="78"/>
        <w:ind w:left="288" w:right="0" w:firstLine="0"/>
        <w:jc w:val="left"/>
        <w:rPr>
          <w:i/>
          <w:sz w:val="22"/>
        </w:rPr>
      </w:pPr>
      <w:bookmarkStart w:name="Figure 7:  Percent of Respondents Offeri" w:id="28"/>
      <w:bookmarkEnd w:id="28"/>
      <w:r>
        <w:rPr/>
      </w:r>
      <w:r>
        <w:rPr>
          <w:i/>
          <w:sz w:val="22"/>
        </w:rPr>
        <w:t>Figure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7: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Percent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Respondents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Offering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Select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Amenities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Lease</w:t>
      </w:r>
      <w:r>
        <w:rPr>
          <w:i/>
          <w:spacing w:val="-10"/>
          <w:sz w:val="22"/>
        </w:rPr>
        <w:t> </w:t>
      </w:r>
      <w:r>
        <w:rPr>
          <w:i/>
          <w:spacing w:val="-4"/>
          <w:sz w:val="22"/>
        </w:rPr>
        <w:t>Type</w:t>
      </w:r>
    </w:p>
    <w:p>
      <w:pPr>
        <w:pStyle w:val="BodyText"/>
        <w:spacing w:before="91"/>
        <w:rPr>
          <w:i/>
          <w:sz w:val="18"/>
        </w:rPr>
      </w:pPr>
    </w:p>
    <w:p>
      <w:pPr>
        <w:spacing w:before="0"/>
        <w:ind w:left="0" w:right="8251" w:firstLine="0"/>
        <w:jc w:val="right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1700022</wp:posOffset>
                </wp:positionH>
                <wp:positionV relativeFrom="paragraph">
                  <wp:posOffset>-36903</wp:posOffset>
                </wp:positionV>
                <wp:extent cx="4677410" cy="1374775"/>
                <wp:effectExtent l="0" t="0" r="0" b="0"/>
                <wp:wrapNone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4677410" cy="1374775"/>
                          <a:chExt cx="4677410" cy="1374775"/>
                        </a:xfrm>
                      </wpg:grpSpPr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7155" cy="13746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Textbox 110"/>
                        <wps:cNvSpPr txBox="1"/>
                        <wps:spPr>
                          <a:xfrm>
                            <a:off x="124304" y="149719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81%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576132" y="90511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86%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1479788" y="90511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86%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2835272" y="90511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86%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1931616" y="208926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76%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1027960" y="327341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67%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2229710" y="247102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73%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776957" y="474331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55%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1676270" y="447584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57%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367535" y="621435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43%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1275191" y="674813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39%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2383444" y="623378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43%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3057242" y="564170"/>
                            <a:ext cx="440690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7" w:lineRule="auto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position w:val="-6"/>
                                  <w:sz w:val="18"/>
                                </w:rPr>
                                <w:t>44%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10"/>
                                  <w:position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48%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2605414" y="862036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24%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3521872" y="781912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30%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4190755" y="919415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19%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3738927" y="1037830"/>
                            <a:ext cx="39116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7" w:lineRule="auto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position w:val="-5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>10%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position w:val="-5"/>
                                  <w:sz w:val="18"/>
                                </w:rPr>
                                <w:t>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4425642" y="1026057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12%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3.860016pt;margin-top:-2.905781pt;width:368.3pt;height:108.25pt;mso-position-horizontal-relative:page;mso-position-vertical-relative:paragraph;z-index:15744512" id="docshapegroup84" coordorigin="2677,-58" coordsize="7366,2165">
                <v:shape style="position:absolute;left:2677;top:-59;width:7366;height:2165" type="#_x0000_t75" id="docshape85" stroked="false">
                  <v:imagedata r:id="rId61" o:title=""/>
                </v:shape>
                <v:shape style="position:absolute;left:2872;top:177;width:332;height:180" type="#_x0000_t202" id="docshape8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81%</w:t>
                        </w:r>
                      </w:p>
                    </w:txbxContent>
                  </v:textbox>
                  <w10:wrap type="none"/>
                </v:shape>
                <v:shape style="position:absolute;left:3584;top:84;width:332;height:180" type="#_x0000_t202" id="docshape8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86%</w:t>
                        </w:r>
                      </w:p>
                    </w:txbxContent>
                  </v:textbox>
                  <w10:wrap type="none"/>
                </v:shape>
                <v:shape style="position:absolute;left:5007;top:84;width:332;height:180" type="#_x0000_t202" id="docshape8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86%</w:t>
                        </w:r>
                      </w:p>
                    </w:txbxContent>
                  </v:textbox>
                  <w10:wrap type="none"/>
                </v:shape>
                <v:shape style="position:absolute;left:7142;top:84;width:332;height:180" type="#_x0000_t202" id="docshape8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86%</w:t>
                        </w:r>
                      </w:p>
                    </w:txbxContent>
                  </v:textbox>
                  <w10:wrap type="none"/>
                </v:shape>
                <v:shape style="position:absolute;left:5719;top:270;width:332;height:180" type="#_x0000_t202" id="docshape90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76%</w:t>
                        </w:r>
                      </w:p>
                    </w:txbxContent>
                  </v:textbox>
                  <w10:wrap type="none"/>
                </v:shape>
                <v:shape style="position:absolute;left:4296;top:457;width:332;height:180" type="#_x0000_t202" id="docshape9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67%</w:t>
                        </w:r>
                      </w:p>
                    </w:txbxContent>
                  </v:textbox>
                  <w10:wrap type="none"/>
                </v:shape>
                <v:shape style="position:absolute;left:6188;top:331;width:332;height:180" type="#_x0000_t202" id="docshape9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73%</w:t>
                        </w:r>
                      </w:p>
                    </w:txbxContent>
                  </v:textbox>
                  <w10:wrap type="none"/>
                </v:shape>
                <v:shape style="position:absolute;left:3900;top:688;width:332;height:180" type="#_x0000_t202" id="docshape9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55%</w:t>
                        </w:r>
                      </w:p>
                    </w:txbxContent>
                  </v:textbox>
                  <w10:wrap type="none"/>
                </v:shape>
                <v:shape style="position:absolute;left:5317;top:646;width:332;height:180" type="#_x0000_t202" id="docshape9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57%</w:t>
                        </w:r>
                      </w:p>
                    </w:txbxContent>
                  </v:textbox>
                  <w10:wrap type="none"/>
                </v:shape>
                <v:shape style="position:absolute;left:3256;top:920;width:332;height:180" type="#_x0000_t202" id="docshape9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43%</w:t>
                        </w:r>
                      </w:p>
                    </w:txbxContent>
                  </v:textbox>
                  <w10:wrap type="none"/>
                </v:shape>
                <v:shape style="position:absolute;left:4685;top:1004;width:332;height:180" type="#_x0000_t202" id="docshape9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39%</w:t>
                        </w:r>
                      </w:p>
                    </w:txbxContent>
                  </v:textbox>
                  <w10:wrap type="none"/>
                </v:shape>
                <v:shape style="position:absolute;left:6430;top:923;width:332;height:180" type="#_x0000_t202" id="docshape9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43%</w:t>
                        </w:r>
                      </w:p>
                    </w:txbxContent>
                  </v:textbox>
                  <w10:wrap type="none"/>
                </v:shape>
                <v:shape style="position:absolute;left:7491;top:830;width:694;height:250" type="#_x0000_t202" id="docshape98" filled="false" stroked="false">
                  <v:textbox inset="0,0,0,0">
                    <w:txbxContent>
                      <w:p>
                        <w:pPr>
                          <w:spacing w:line="187" w:lineRule="auto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position w:val="-6"/>
                            <w:sz w:val="18"/>
                          </w:rPr>
                          <w:t>44%</w:t>
                        </w:r>
                        <w:r>
                          <w:rPr>
                            <w:rFonts w:ascii="Calibri"/>
                            <w:color w:val="404040"/>
                            <w:spacing w:val="10"/>
                            <w:position w:val="-6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48%</w:t>
                        </w:r>
                      </w:p>
                    </w:txbxContent>
                  </v:textbox>
                  <w10:wrap type="none"/>
                </v:shape>
                <v:shape style="position:absolute;left:6780;top:1299;width:332;height:180" type="#_x0000_t202" id="docshape9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24%</w:t>
                        </w:r>
                      </w:p>
                    </w:txbxContent>
                  </v:textbox>
                  <w10:wrap type="none"/>
                </v:shape>
                <v:shape style="position:absolute;left:8223;top:1173;width:332;height:180" type="#_x0000_t202" id="docshape100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30%</w:t>
                        </w:r>
                      </w:p>
                    </w:txbxContent>
                  </v:textbox>
                  <w10:wrap type="none"/>
                </v:shape>
                <v:shape style="position:absolute;left:9276;top:1389;width:332;height:180" type="#_x0000_t202" id="docshape10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19%</w:t>
                        </w:r>
                      </w:p>
                    </w:txbxContent>
                  </v:textbox>
                  <w10:wrap type="none"/>
                </v:shape>
                <v:shape style="position:absolute;left:8565;top:1576;width:616;height:241" type="#_x0000_t202" id="docshape102" filled="false" stroked="false">
                  <v:textbox inset="0,0,0,0">
                    <w:txbxContent>
                      <w:p>
                        <w:pPr>
                          <w:spacing w:line="187" w:lineRule="auto" w:before="0"/>
                          <w:ind w:left="0" w:right="0" w:firstLine="0"/>
                          <w:jc w:val="left"/>
                          <w:rPr>
                            <w:rFonts w:ascii="Calibri"/>
                            <w:position w:val="-5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>10%</w:t>
                        </w:r>
                        <w:r>
                          <w:rPr>
                            <w:rFonts w:ascii="Calibri"/>
                            <w:color w:val="404040"/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position w:val="-5"/>
                            <w:sz w:val="18"/>
                          </w:rPr>
                          <w:t>6%</w:t>
                        </w:r>
                      </w:p>
                    </w:txbxContent>
                  </v:textbox>
                  <w10:wrap type="none"/>
                </v:shape>
                <v:shape style="position:absolute;left:9646;top:1557;width:332;height:180" type="#_x0000_t202" id="docshape10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12%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585858"/>
          <w:spacing w:val="-4"/>
          <w:sz w:val="18"/>
        </w:rPr>
        <w:t>100%</w:t>
      </w:r>
    </w:p>
    <w:p>
      <w:pPr>
        <w:spacing w:before="172"/>
        <w:ind w:left="0" w:right="8251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80%</w:t>
      </w:r>
    </w:p>
    <w:p>
      <w:pPr>
        <w:spacing w:before="172"/>
        <w:ind w:left="0" w:right="8251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60%</w:t>
      </w:r>
    </w:p>
    <w:p>
      <w:pPr>
        <w:spacing w:before="172"/>
        <w:ind w:left="0" w:right="8251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40%</w:t>
      </w:r>
    </w:p>
    <w:p>
      <w:pPr>
        <w:spacing w:before="172"/>
        <w:ind w:left="0" w:right="8251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20%</w:t>
      </w:r>
    </w:p>
    <w:p>
      <w:pPr>
        <w:spacing w:before="172"/>
        <w:ind w:left="0" w:right="8251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0%</w:t>
      </w:r>
    </w:p>
    <w:p>
      <w:pPr>
        <w:pStyle w:val="BodyText"/>
        <w:spacing w:before="10"/>
        <w:rPr>
          <w:rFonts w:ascii="Calibri"/>
          <w:sz w:val="3"/>
        </w:rPr>
      </w:pPr>
      <w:r>
        <w:rPr>
          <w:rFonts w:ascii="Calibri"/>
          <w:sz w:val="3"/>
        </w:rPr>
        <w:drawing>
          <wp:anchor distT="0" distB="0" distL="0" distR="0" allowOverlap="1" layoutInCell="1" locked="0" behindDoc="1" simplePos="0" relativeHeight="487602176">
            <wp:simplePos x="0" y="0"/>
            <wp:positionH relativeFrom="page">
              <wp:posOffset>1558436</wp:posOffset>
            </wp:positionH>
            <wp:positionV relativeFrom="paragraph">
              <wp:posOffset>54392</wp:posOffset>
            </wp:positionV>
            <wp:extent cx="857154" cy="457200"/>
            <wp:effectExtent l="0" t="0" r="0" b="0"/>
            <wp:wrapTopAndBottom/>
            <wp:docPr id="128" name="Image 1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8" name="Image 128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154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3"/>
        </w:rPr>
        <w:drawing>
          <wp:anchor distT="0" distB="0" distL="0" distR="0" allowOverlap="1" layoutInCell="1" locked="0" behindDoc="1" simplePos="0" relativeHeight="487602688">
            <wp:simplePos x="0" y="0"/>
            <wp:positionH relativeFrom="page">
              <wp:posOffset>2474076</wp:posOffset>
            </wp:positionH>
            <wp:positionV relativeFrom="paragraph">
              <wp:posOffset>45431</wp:posOffset>
            </wp:positionV>
            <wp:extent cx="3111946" cy="819150"/>
            <wp:effectExtent l="0" t="0" r="0" b="0"/>
            <wp:wrapTopAndBottom/>
            <wp:docPr id="129" name="Image 1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9" name="Image 129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946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3"/>
        </w:rPr>
        <w:drawing>
          <wp:anchor distT="0" distB="0" distL="0" distR="0" allowOverlap="1" layoutInCell="1" locked="0" behindDoc="1" simplePos="0" relativeHeight="487603200">
            <wp:simplePos x="0" y="0"/>
            <wp:positionH relativeFrom="page">
              <wp:posOffset>5817522</wp:posOffset>
            </wp:positionH>
            <wp:positionV relativeFrom="paragraph">
              <wp:posOffset>46388</wp:posOffset>
            </wp:positionV>
            <wp:extent cx="208981" cy="209550"/>
            <wp:effectExtent l="0" t="0" r="0" b="0"/>
            <wp:wrapTopAndBottom/>
            <wp:docPr id="130" name="Image 1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0" name="Image 130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981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6"/>
        <w:rPr>
          <w:rFonts w:ascii="Calibri"/>
          <w:sz w:val="20"/>
        </w:rPr>
      </w:pPr>
    </w:p>
    <w:p>
      <w:pPr>
        <w:spacing w:before="0"/>
        <w:ind w:left="3324" w:right="0" w:firstLine="0"/>
        <w:jc w:val="left"/>
        <w:rPr>
          <w:rFonts w:ascii="Calibri"/>
          <w:sz w:val="20"/>
        </w:rPr>
      </w:pPr>
      <w:r>
        <w:rPr/>
        <w:drawing>
          <wp:inline distT="0" distB="0" distL="0" distR="0">
            <wp:extent cx="69748" cy="69748"/>
            <wp:effectExtent l="0" t="0" r="0" b="0"/>
            <wp:docPr id="131" name="Image 1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1" name="Image 131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48" cy="6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4"/>
          <w:sz w:val="20"/>
        </w:rPr>
        <w:t> </w:t>
      </w:r>
      <w:r>
        <w:rPr>
          <w:rFonts w:ascii="Calibri"/>
          <w:color w:val="585858"/>
          <w:sz w:val="20"/>
        </w:rPr>
        <w:t>Bed</w:t>
      </w:r>
      <w:r>
        <w:rPr>
          <w:rFonts w:ascii="Calibri"/>
          <w:color w:val="585858"/>
          <w:spacing w:val="-2"/>
          <w:sz w:val="20"/>
        </w:rPr>
        <w:t> </w:t>
      </w:r>
      <w:r>
        <w:rPr>
          <w:rFonts w:ascii="Calibri"/>
          <w:color w:val="585858"/>
          <w:sz w:val="20"/>
        </w:rPr>
        <w:t>Leases</w:t>
      </w:r>
      <w:r>
        <w:rPr>
          <w:rFonts w:ascii="Calibri"/>
          <w:color w:val="585858"/>
          <w:spacing w:val="76"/>
          <w:sz w:val="20"/>
        </w:rPr>
        <w:t> </w:t>
      </w:r>
      <w:r>
        <w:rPr>
          <w:rFonts w:ascii="Calibri"/>
          <w:color w:val="585858"/>
          <w:spacing w:val="-13"/>
          <w:sz w:val="20"/>
        </w:rPr>
        <w:drawing>
          <wp:inline distT="0" distB="0" distL="0" distR="0">
            <wp:extent cx="69748" cy="69748"/>
            <wp:effectExtent l="0" t="0" r="0" b="0"/>
            <wp:docPr id="132" name="Image 1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2" name="Image 132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48" cy="6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color w:val="585858"/>
          <w:spacing w:val="-13"/>
          <w:sz w:val="20"/>
        </w:rPr>
      </w:r>
      <w:r>
        <w:rPr>
          <w:rFonts w:ascii="Times New Roman"/>
          <w:color w:val="585858"/>
          <w:spacing w:val="9"/>
          <w:sz w:val="20"/>
        </w:rPr>
        <w:t> </w:t>
      </w:r>
      <w:r>
        <w:rPr>
          <w:rFonts w:ascii="Calibri"/>
          <w:color w:val="585858"/>
          <w:sz w:val="20"/>
        </w:rPr>
        <w:t>Unit</w:t>
      </w:r>
      <w:r>
        <w:rPr>
          <w:rFonts w:ascii="Calibri"/>
          <w:color w:val="585858"/>
          <w:spacing w:val="-2"/>
          <w:sz w:val="20"/>
        </w:rPr>
        <w:t> </w:t>
      </w:r>
      <w:r>
        <w:rPr>
          <w:rFonts w:ascii="Calibri"/>
          <w:color w:val="585858"/>
          <w:sz w:val="20"/>
        </w:rPr>
        <w:t>Leases</w:t>
      </w:r>
    </w:p>
    <w:p>
      <w:pPr>
        <w:spacing w:before="31"/>
        <w:ind w:left="288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Source:</w:t>
      </w:r>
      <w:r>
        <w:rPr>
          <w:rFonts w:ascii="Arial MT"/>
          <w:spacing w:val="36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5"/>
          <w:sz w:val="16"/>
        </w:rPr>
        <w:t> </w:t>
      </w:r>
      <w:r>
        <w:rPr>
          <w:rFonts w:ascii="Arial MT"/>
          <w:spacing w:val="-4"/>
          <w:sz w:val="16"/>
        </w:rPr>
        <w:t>2025.</w:t>
      </w:r>
    </w:p>
    <w:p>
      <w:pPr>
        <w:pStyle w:val="BodyText"/>
        <w:spacing w:before="76"/>
        <w:rPr>
          <w:rFonts w:ascii="Arial MT"/>
          <w:sz w:val="23"/>
        </w:rPr>
      </w:pPr>
    </w:p>
    <w:p>
      <w:pPr>
        <w:pStyle w:val="Heading1"/>
      </w:pPr>
      <w:bookmarkStart w:name="Furnished and Unfurnished Units" w:id="29"/>
      <w:bookmarkEnd w:id="29"/>
      <w:r>
        <w:rPr>
          <w:i w:val="0"/>
        </w:rPr>
      </w:r>
      <w:r>
        <w:rPr/>
        <w:t>Furnished</w:t>
      </w:r>
      <w:r>
        <w:rPr>
          <w:spacing w:val="42"/>
        </w:rPr>
        <w:t> </w:t>
      </w:r>
      <w:r>
        <w:rPr/>
        <w:t>and</w:t>
      </w:r>
      <w:r>
        <w:rPr>
          <w:spacing w:val="43"/>
        </w:rPr>
        <w:t> </w:t>
      </w:r>
      <w:r>
        <w:rPr/>
        <w:t>Unfurnished</w:t>
      </w:r>
      <w:r>
        <w:rPr>
          <w:spacing w:val="42"/>
        </w:rPr>
        <w:t> </w:t>
      </w:r>
      <w:r>
        <w:rPr>
          <w:spacing w:val="-4"/>
        </w:rPr>
        <w:t>Units</w:t>
      </w:r>
    </w:p>
    <w:p>
      <w:pPr>
        <w:pStyle w:val="BodyText"/>
        <w:spacing w:line="288" w:lineRule="auto" w:before="49"/>
        <w:ind w:left="287" w:right="288"/>
      </w:pPr>
      <w:r>
        <w:rPr/>
        <w:t>Most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surveyed</w:t>
      </w:r>
      <w:r>
        <w:rPr>
          <w:spacing w:val="-6"/>
        </w:rPr>
        <w:t> </w:t>
      </w:r>
      <w:r>
        <w:rPr/>
        <w:t>properties</w:t>
      </w:r>
      <w:r>
        <w:rPr>
          <w:spacing w:val="-5"/>
        </w:rPr>
        <w:t> </w:t>
      </w:r>
      <w:r>
        <w:rPr/>
        <w:t>indicated</w:t>
      </w:r>
      <w:r>
        <w:rPr>
          <w:spacing w:val="-6"/>
        </w:rPr>
        <w:t> </w:t>
      </w:r>
      <w:r>
        <w:rPr/>
        <w:t>that</w:t>
      </w:r>
      <w:r>
        <w:rPr>
          <w:spacing w:val="-7"/>
        </w:rPr>
        <w:t> </w:t>
      </w:r>
      <w:r>
        <w:rPr/>
        <w:t>they</w:t>
      </w:r>
      <w:r>
        <w:rPr>
          <w:spacing w:val="-5"/>
        </w:rPr>
        <w:t> </w:t>
      </w:r>
      <w:r>
        <w:rPr/>
        <w:t>did</w:t>
      </w:r>
      <w:r>
        <w:rPr>
          <w:spacing w:val="-6"/>
        </w:rPr>
        <w:t> </w:t>
      </w:r>
      <w:r>
        <w:rPr/>
        <w:t>not</w:t>
      </w:r>
      <w:r>
        <w:rPr>
          <w:spacing w:val="-7"/>
        </w:rPr>
        <w:t> </w:t>
      </w:r>
      <w:r>
        <w:rPr/>
        <w:t>offer</w:t>
      </w:r>
      <w:r>
        <w:rPr>
          <w:spacing w:val="-5"/>
        </w:rPr>
        <w:t> </w:t>
      </w:r>
      <w:r>
        <w:rPr/>
        <w:t>furnished</w:t>
      </w:r>
      <w:r>
        <w:rPr>
          <w:spacing w:val="-6"/>
        </w:rPr>
        <w:t> </w:t>
      </w:r>
      <w:r>
        <w:rPr/>
        <w:t>units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2025 leasing</w:t>
      </w:r>
      <w:r>
        <w:rPr>
          <w:spacing w:val="-8"/>
        </w:rPr>
        <w:t> </w:t>
      </w:r>
      <w:r>
        <w:rPr/>
        <w:t>season.</w:t>
      </w:r>
      <w:r>
        <w:rPr>
          <w:spacing w:val="-8"/>
        </w:rPr>
        <w:t> </w:t>
      </w:r>
      <w:r>
        <w:rPr/>
        <w:t>Figures</w:t>
      </w:r>
      <w:r>
        <w:rPr>
          <w:spacing w:val="-8"/>
        </w:rPr>
        <w:t> </w:t>
      </w:r>
      <w:r>
        <w:rPr/>
        <w:t>8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9,</w:t>
      </w:r>
      <w:r>
        <w:rPr>
          <w:spacing w:val="-8"/>
        </w:rPr>
        <w:t> </w:t>
      </w:r>
      <w:r>
        <w:rPr/>
        <w:t>on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next</w:t>
      </w:r>
      <w:r>
        <w:rPr>
          <w:spacing w:val="-9"/>
        </w:rPr>
        <w:t> </w:t>
      </w:r>
      <w:r>
        <w:rPr/>
        <w:t>page,</w:t>
      </w:r>
      <w:r>
        <w:rPr>
          <w:spacing w:val="-7"/>
        </w:rPr>
        <w:t> </w:t>
      </w:r>
      <w:r>
        <w:rPr/>
        <w:t>illustrate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number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respondents</w:t>
      </w:r>
      <w:r>
        <w:rPr>
          <w:spacing w:val="-8"/>
        </w:rPr>
        <w:t> </w:t>
      </w:r>
      <w:r>
        <w:rPr/>
        <w:t>that offered</w:t>
      </w:r>
      <w:r>
        <w:rPr>
          <w:spacing w:val="-8"/>
        </w:rPr>
        <w:t> </w:t>
      </w:r>
      <w:r>
        <w:rPr/>
        <w:t>furnishings,</w:t>
      </w:r>
      <w:r>
        <w:rPr>
          <w:spacing w:val="-8"/>
        </w:rPr>
        <w:t> </w:t>
      </w:r>
      <w:r>
        <w:rPr/>
        <w:t>by</w:t>
      </w:r>
      <w:r>
        <w:rPr>
          <w:spacing w:val="-8"/>
        </w:rPr>
        <w:t> </w:t>
      </w:r>
      <w:r>
        <w:rPr/>
        <w:t>unit</w:t>
      </w:r>
      <w:r>
        <w:rPr>
          <w:spacing w:val="-9"/>
        </w:rPr>
        <w:t> </w:t>
      </w:r>
      <w:r>
        <w:rPr/>
        <w:t>size.</w:t>
      </w:r>
      <w:r>
        <w:rPr>
          <w:spacing w:val="-8"/>
        </w:rPr>
        <w:t> </w:t>
      </w:r>
      <w:r>
        <w:rPr/>
        <w:t>Only</w:t>
      </w:r>
      <w:r>
        <w:rPr>
          <w:spacing w:val="-7"/>
        </w:rPr>
        <w:t> </w:t>
      </w:r>
      <w:r>
        <w:rPr/>
        <w:t>16</w:t>
      </w:r>
      <w:r>
        <w:rPr>
          <w:spacing w:val="-9"/>
        </w:rPr>
        <w:t> </w:t>
      </w:r>
      <w:r>
        <w:rPr/>
        <w:t>properties</w:t>
      </w:r>
      <w:r>
        <w:rPr>
          <w:spacing w:val="-8"/>
        </w:rPr>
        <w:t> </w:t>
      </w:r>
      <w:r>
        <w:rPr/>
        <w:t>offered</w:t>
      </w:r>
      <w:r>
        <w:rPr>
          <w:spacing w:val="-8"/>
        </w:rPr>
        <w:t> </w:t>
      </w:r>
      <w:r>
        <w:rPr/>
        <w:t>furnished</w:t>
      </w:r>
      <w:r>
        <w:rPr>
          <w:spacing w:val="-8"/>
        </w:rPr>
        <w:t> </w:t>
      </w:r>
      <w:r>
        <w:rPr/>
        <w:t>apartments</w:t>
      </w:r>
      <w:r>
        <w:rPr>
          <w:spacing w:val="-8"/>
        </w:rPr>
        <w:t> </w:t>
      </w:r>
      <w:r>
        <w:rPr/>
        <w:t>under</w:t>
      </w:r>
      <w:r>
        <w:rPr>
          <w:spacing w:val="-9"/>
        </w:rPr>
        <w:t> </w:t>
      </w:r>
      <w:r>
        <w:rPr/>
        <w:t>unit lease</w:t>
      </w:r>
      <w:r>
        <w:rPr>
          <w:spacing w:val="-16"/>
        </w:rPr>
        <w:t> </w:t>
      </w:r>
      <w:r>
        <w:rPr/>
        <w:t>arrangements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2025</w:t>
      </w:r>
      <w:r>
        <w:rPr>
          <w:spacing w:val="-14"/>
        </w:rPr>
        <w:t> </w:t>
      </w:r>
      <w:r>
        <w:rPr/>
        <w:t>leasing</w:t>
      </w:r>
      <w:r>
        <w:rPr>
          <w:spacing w:val="-14"/>
        </w:rPr>
        <w:t> </w:t>
      </w:r>
      <w:r>
        <w:rPr/>
        <w:t>season.</w:t>
      </w:r>
      <w:r>
        <w:rPr>
          <w:spacing w:val="-14"/>
        </w:rPr>
        <w:t> </w:t>
      </w:r>
      <w:r>
        <w:rPr/>
        <w:t>Two-bedroom</w:t>
      </w:r>
      <w:r>
        <w:rPr>
          <w:spacing w:val="-13"/>
        </w:rPr>
        <w:t> </w:t>
      </w:r>
      <w:r>
        <w:rPr/>
        <w:t>units</w:t>
      </w:r>
      <w:r>
        <w:rPr>
          <w:spacing w:val="-14"/>
        </w:rPr>
        <w:t> </w:t>
      </w:r>
      <w:r>
        <w:rPr/>
        <w:t>were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most</w:t>
      </w:r>
      <w:r>
        <w:rPr>
          <w:spacing w:val="-13"/>
        </w:rPr>
        <w:t> </w:t>
      </w:r>
      <w:r>
        <w:rPr/>
        <w:t>common unit</w:t>
      </w:r>
      <w:r>
        <w:rPr>
          <w:spacing w:val="-4"/>
        </w:rPr>
        <w:t> </w:t>
      </w:r>
      <w:r>
        <w:rPr/>
        <w:t>type</w:t>
      </w:r>
      <w:r>
        <w:rPr>
          <w:spacing w:val="-4"/>
        </w:rPr>
        <w:t> </w:t>
      </w:r>
      <w:r>
        <w:rPr/>
        <w:t>offered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furnishings</w:t>
      </w:r>
      <w:r>
        <w:rPr>
          <w:spacing w:val="-3"/>
        </w:rPr>
        <w:t> </w:t>
      </w:r>
      <w:r>
        <w:rPr/>
        <w:t>under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unit</w:t>
      </w:r>
      <w:r>
        <w:rPr>
          <w:spacing w:val="-4"/>
        </w:rPr>
        <w:t> </w:t>
      </w:r>
      <w:r>
        <w:rPr/>
        <w:t>lease</w:t>
      </w:r>
      <w:r>
        <w:rPr>
          <w:spacing w:val="-4"/>
        </w:rPr>
        <w:t> </w:t>
      </w:r>
      <w:r>
        <w:rPr/>
        <w:t>arrangement</w:t>
      </w:r>
      <w:r>
        <w:rPr>
          <w:spacing w:val="-3"/>
        </w:rPr>
        <w:t> </w:t>
      </w:r>
      <w:r>
        <w:rPr/>
        <w:t>followed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one-bedroom units. Twelve of the 21 bed lease complexes reported offering furnished units.</w:t>
      </w:r>
    </w:p>
    <w:p>
      <w:pPr>
        <w:pStyle w:val="BodyText"/>
        <w:spacing w:before="45"/>
      </w:pPr>
    </w:p>
    <w:p>
      <w:pPr>
        <w:pStyle w:val="Heading1"/>
      </w:pPr>
      <w:bookmarkStart w:name="Services and Incentives" w:id="30"/>
      <w:bookmarkEnd w:id="30"/>
      <w:r>
        <w:rPr>
          <w:i w:val="0"/>
        </w:rPr>
      </w:r>
      <w:r>
        <w:rPr>
          <w:spacing w:val="9"/>
        </w:rPr>
        <w:t>Services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Incentives</w:t>
      </w:r>
    </w:p>
    <w:p>
      <w:pPr>
        <w:pStyle w:val="BodyText"/>
        <w:spacing w:line="288" w:lineRule="auto" w:before="49"/>
        <w:ind w:left="287" w:right="196"/>
      </w:pPr>
      <w:r>
        <w:rPr/>
        <w:t>For a variety of reasons, it is often in a property owner’s best interest to provide certain services and incentives to residents. This often promotes resident recruitment and retention. For</w:t>
      </w:r>
      <w:r>
        <w:rPr>
          <w:spacing w:val="-12"/>
        </w:rPr>
        <w:t> </w:t>
      </w:r>
      <w:r>
        <w:rPr/>
        <w:t>properties</w:t>
      </w:r>
      <w:r>
        <w:rPr>
          <w:spacing w:val="-11"/>
        </w:rPr>
        <w:t> </w:t>
      </w:r>
      <w:r>
        <w:rPr/>
        <w:t>that</w:t>
      </w:r>
      <w:r>
        <w:rPr>
          <w:spacing w:val="-12"/>
        </w:rPr>
        <w:t> </w:t>
      </w:r>
      <w:r>
        <w:rPr/>
        <w:t>offer</w:t>
      </w:r>
      <w:r>
        <w:rPr>
          <w:spacing w:val="-11"/>
        </w:rPr>
        <w:t> </w:t>
      </w:r>
      <w:r>
        <w:rPr/>
        <w:t>bed</w:t>
      </w:r>
      <w:r>
        <w:rPr>
          <w:spacing w:val="-11"/>
        </w:rPr>
        <w:t> </w:t>
      </w:r>
      <w:r>
        <w:rPr/>
        <w:t>leases,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roommate</w:t>
      </w:r>
      <w:r>
        <w:rPr>
          <w:spacing w:val="-12"/>
        </w:rPr>
        <w:t> </w:t>
      </w:r>
      <w:r>
        <w:rPr/>
        <w:t>matching</w:t>
      </w:r>
      <w:r>
        <w:rPr>
          <w:spacing w:val="-11"/>
        </w:rPr>
        <w:t> </w:t>
      </w:r>
      <w:r>
        <w:rPr/>
        <w:t>program</w:t>
      </w:r>
      <w:r>
        <w:rPr>
          <w:spacing w:val="-11"/>
        </w:rPr>
        <w:t> </w:t>
      </w:r>
      <w:r>
        <w:rPr/>
        <w:t>can</w:t>
      </w:r>
      <w:r>
        <w:rPr>
          <w:spacing w:val="-12"/>
        </w:rPr>
        <w:t> </w:t>
      </w:r>
      <w:r>
        <w:rPr/>
        <w:t>often</w:t>
      </w:r>
      <w:r>
        <w:rPr>
          <w:spacing w:val="-11"/>
        </w:rPr>
        <w:t> </w:t>
      </w:r>
      <w:r>
        <w:rPr/>
        <w:t>be</w:t>
      </w:r>
      <w:r>
        <w:rPr>
          <w:spacing w:val="-12"/>
        </w:rPr>
        <w:t> </w:t>
      </w:r>
      <w:r>
        <w:rPr/>
        <w:t>an</w:t>
      </w:r>
      <w:r>
        <w:rPr>
          <w:spacing w:val="-12"/>
        </w:rPr>
        <w:t> </w:t>
      </w:r>
      <w:r>
        <w:rPr/>
        <w:t>important tool. Under</w:t>
      </w:r>
      <w:r>
        <w:rPr>
          <w:spacing w:val="-1"/>
        </w:rPr>
        <w:t> </w:t>
      </w:r>
      <w:r>
        <w:rPr/>
        <w:t>such programs, prospective</w:t>
      </w:r>
      <w:r>
        <w:rPr>
          <w:spacing w:val="-1"/>
        </w:rPr>
        <w:t> </w:t>
      </w:r>
      <w:r>
        <w:rPr/>
        <w:t>residents fill out</w:t>
      </w:r>
      <w:r>
        <w:rPr>
          <w:spacing w:val="-1"/>
        </w:rPr>
        <w:t> </w:t>
      </w:r>
      <w:r>
        <w:rPr/>
        <w:t>applications, stating their</w:t>
      </w:r>
      <w:r>
        <w:rPr>
          <w:spacing w:val="-1"/>
        </w:rPr>
        <w:t> </w:t>
      </w:r>
      <w:r>
        <w:rPr/>
        <w:t>interests and</w:t>
      </w:r>
      <w:r>
        <w:rPr>
          <w:spacing w:val="-14"/>
        </w:rPr>
        <w:t> </w:t>
      </w:r>
      <w:r>
        <w:rPr/>
        <w:t>preferences</w:t>
      </w:r>
      <w:r>
        <w:rPr>
          <w:spacing w:val="-14"/>
        </w:rPr>
        <w:t> </w:t>
      </w:r>
      <w:r>
        <w:rPr/>
        <w:t>for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roommate.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prevalence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roommate</w:t>
      </w:r>
      <w:r>
        <w:rPr>
          <w:spacing w:val="-14"/>
        </w:rPr>
        <w:t> </w:t>
      </w:r>
      <w:r>
        <w:rPr/>
        <w:t>matching</w:t>
      </w:r>
      <w:r>
        <w:rPr>
          <w:spacing w:val="-14"/>
        </w:rPr>
        <w:t> </w:t>
      </w:r>
      <w:r>
        <w:rPr/>
        <w:t>programs</w:t>
      </w:r>
      <w:r>
        <w:rPr>
          <w:spacing w:val="-14"/>
        </w:rPr>
        <w:t> </w:t>
      </w:r>
      <w:r>
        <w:rPr/>
        <w:t>is</w:t>
      </w:r>
      <w:r>
        <w:rPr>
          <w:spacing w:val="-13"/>
        </w:rPr>
        <w:t> </w:t>
      </w:r>
      <w:r>
        <w:rPr/>
        <w:t>similar</w:t>
      </w:r>
      <w:r>
        <w:rPr>
          <w:spacing w:val="-14"/>
        </w:rPr>
        <w:t> </w:t>
      </w:r>
      <w:r>
        <w:rPr/>
        <w:t>to the</w:t>
      </w:r>
      <w:r>
        <w:rPr>
          <w:spacing w:val="-10"/>
        </w:rPr>
        <w:t> </w:t>
      </w:r>
      <w:r>
        <w:rPr/>
        <w:t>2024</w:t>
      </w:r>
      <w:r>
        <w:rPr>
          <w:spacing w:val="-10"/>
        </w:rPr>
        <w:t> </w:t>
      </w:r>
      <w:r>
        <w:rPr/>
        <w:t>survey</w:t>
      </w:r>
      <w:r>
        <w:rPr>
          <w:spacing w:val="-9"/>
        </w:rPr>
        <w:t> </w:t>
      </w:r>
      <w:r>
        <w:rPr/>
        <w:t>period,</w:t>
      </w:r>
      <w:r>
        <w:rPr>
          <w:spacing w:val="-9"/>
        </w:rPr>
        <w:t> </w:t>
      </w:r>
      <w:r>
        <w:rPr/>
        <w:t>with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total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17</w:t>
      </w:r>
      <w:r>
        <w:rPr>
          <w:spacing w:val="-10"/>
        </w:rPr>
        <w:t> </w:t>
      </w:r>
      <w:r>
        <w:rPr/>
        <w:t>properties</w:t>
      </w:r>
      <w:r>
        <w:rPr>
          <w:spacing w:val="-9"/>
        </w:rPr>
        <w:t> </w:t>
      </w:r>
      <w:r>
        <w:rPr/>
        <w:t>offering</w:t>
      </w:r>
      <w:r>
        <w:rPr>
          <w:spacing w:val="-9"/>
        </w:rPr>
        <w:t> </w:t>
      </w:r>
      <w:r>
        <w:rPr/>
        <w:t>such</w:t>
      </w:r>
      <w:r>
        <w:rPr>
          <w:spacing w:val="-9"/>
        </w:rPr>
        <w:t> </w:t>
      </w:r>
      <w:r>
        <w:rPr/>
        <w:t>services,</w:t>
      </w:r>
      <w:r>
        <w:rPr>
          <w:spacing w:val="-9"/>
        </w:rPr>
        <w:t> </w:t>
      </w:r>
      <w:r>
        <w:rPr/>
        <w:t>including</w:t>
      </w:r>
      <w:r>
        <w:rPr>
          <w:spacing w:val="-7"/>
        </w:rPr>
        <w:t> </w:t>
      </w:r>
      <w:r>
        <w:rPr/>
        <w:t>14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the 21</w:t>
      </w:r>
      <w:r>
        <w:rPr>
          <w:spacing w:val="-1"/>
        </w:rPr>
        <w:t> </w:t>
      </w:r>
      <w:r>
        <w:rPr/>
        <w:t>properties that</w:t>
      </w:r>
      <w:r>
        <w:rPr>
          <w:spacing w:val="-1"/>
        </w:rPr>
        <w:t> </w:t>
      </w:r>
      <w:r>
        <w:rPr/>
        <w:t>lease apartments on</w:t>
      </w:r>
      <w:r>
        <w:rPr>
          <w:spacing w:val="-1"/>
        </w:rPr>
        <w:t> </w:t>
      </w:r>
      <w:r>
        <w:rPr/>
        <w:t>a per</w:t>
      </w:r>
      <w:r>
        <w:rPr>
          <w:spacing w:val="-1"/>
        </w:rPr>
        <w:t> </w:t>
      </w:r>
      <w:r>
        <w:rPr/>
        <w:t>bed basis. Fifty-nine</w:t>
      </w:r>
      <w:r>
        <w:rPr>
          <w:spacing w:val="-1"/>
        </w:rPr>
        <w:t> </w:t>
      </w:r>
      <w:r>
        <w:rPr/>
        <w:t>apartment</w:t>
      </w:r>
      <w:r>
        <w:rPr>
          <w:spacing w:val="-1"/>
        </w:rPr>
        <w:t> </w:t>
      </w:r>
      <w:r>
        <w:rPr/>
        <w:t>complexes reported</w:t>
      </w:r>
      <w:r>
        <w:rPr>
          <w:spacing w:val="-2"/>
        </w:rPr>
        <w:t> </w:t>
      </w:r>
      <w:r>
        <w:rPr/>
        <w:t>offering</w:t>
      </w:r>
      <w:r>
        <w:rPr>
          <w:spacing w:val="-2"/>
        </w:rPr>
        <w:t> </w:t>
      </w:r>
      <w:r>
        <w:rPr/>
        <w:t>other</w:t>
      </w:r>
      <w:r>
        <w:rPr>
          <w:spacing w:val="-3"/>
        </w:rPr>
        <w:t> </w:t>
      </w:r>
      <w:r>
        <w:rPr/>
        <w:t>incentives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move-in</w:t>
      </w:r>
      <w:r>
        <w:rPr>
          <w:spacing w:val="-3"/>
        </w:rPr>
        <w:t> </w:t>
      </w:r>
      <w:r>
        <w:rPr/>
        <w:t>specials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2025</w:t>
      </w:r>
      <w:r>
        <w:rPr>
          <w:spacing w:val="-3"/>
        </w:rPr>
        <w:t> </w:t>
      </w:r>
      <w:r>
        <w:rPr/>
        <w:t>leasing</w:t>
      </w:r>
      <w:r>
        <w:rPr>
          <w:spacing w:val="-2"/>
        </w:rPr>
        <w:t> </w:t>
      </w:r>
      <w:r>
        <w:rPr/>
        <w:t>season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help</w:t>
      </w:r>
      <w:r>
        <w:rPr>
          <w:spacing w:val="-2"/>
        </w:rPr>
        <w:t> </w:t>
      </w:r>
      <w:r>
        <w:rPr/>
        <w:t>fill vacancies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attract</w:t>
      </w:r>
      <w:r>
        <w:rPr>
          <w:spacing w:val="-12"/>
        </w:rPr>
        <w:t> </w:t>
      </w:r>
      <w:r>
        <w:rPr/>
        <w:t>new</w:t>
      </w:r>
      <w:r>
        <w:rPr>
          <w:spacing w:val="-13"/>
        </w:rPr>
        <w:t> </w:t>
      </w:r>
      <w:r>
        <w:rPr/>
        <w:t>residents,</w:t>
      </w:r>
      <w:r>
        <w:rPr>
          <w:spacing w:val="-14"/>
        </w:rPr>
        <w:t> </w:t>
      </w:r>
      <w:r>
        <w:rPr/>
        <w:t>which</w:t>
      </w:r>
      <w:r>
        <w:rPr>
          <w:spacing w:val="-13"/>
        </w:rPr>
        <w:t> </w:t>
      </w:r>
      <w:r>
        <w:rPr/>
        <w:t>is</w:t>
      </w:r>
      <w:r>
        <w:rPr>
          <w:spacing w:val="-13"/>
        </w:rPr>
        <w:t> </w:t>
      </w:r>
      <w:r>
        <w:rPr/>
        <w:t>approximately</w:t>
      </w:r>
      <w:r>
        <w:rPr>
          <w:spacing w:val="-14"/>
        </w:rPr>
        <w:t> </w:t>
      </w:r>
      <w:r>
        <w:rPr/>
        <w:t>35</w:t>
      </w:r>
      <w:r>
        <w:rPr>
          <w:spacing w:val="-13"/>
        </w:rPr>
        <w:t> </w:t>
      </w:r>
      <w:r>
        <w:rPr/>
        <w:t>percent</w:t>
      </w:r>
      <w:r>
        <w:rPr>
          <w:spacing w:val="-14"/>
        </w:rPr>
        <w:t> </w:t>
      </w:r>
      <w:r>
        <w:rPr/>
        <w:t>more</w:t>
      </w:r>
      <w:r>
        <w:rPr>
          <w:spacing w:val="-14"/>
        </w:rPr>
        <w:t> </w:t>
      </w:r>
      <w:r>
        <w:rPr/>
        <w:t>than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number of</w:t>
      </w:r>
      <w:r>
        <w:rPr>
          <w:spacing w:val="-6"/>
        </w:rPr>
        <w:t> </w:t>
      </w:r>
      <w:r>
        <w:rPr/>
        <w:t>properties</w:t>
      </w:r>
      <w:r>
        <w:rPr>
          <w:spacing w:val="-5"/>
        </w:rPr>
        <w:t> </w:t>
      </w:r>
      <w:r>
        <w:rPr/>
        <w:t>that</w:t>
      </w:r>
      <w:r>
        <w:rPr>
          <w:spacing w:val="-7"/>
        </w:rPr>
        <w:t> </w:t>
      </w:r>
      <w:r>
        <w:rPr/>
        <w:t>offered</w:t>
      </w:r>
      <w:r>
        <w:rPr>
          <w:spacing w:val="-6"/>
        </w:rPr>
        <w:t> </w:t>
      </w:r>
      <w:r>
        <w:rPr/>
        <w:t>incentives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2024</w:t>
      </w:r>
      <w:r>
        <w:rPr>
          <w:spacing w:val="-7"/>
        </w:rPr>
        <w:t> </w:t>
      </w:r>
      <w:r>
        <w:rPr/>
        <w:t>leasing</w:t>
      </w:r>
      <w:r>
        <w:rPr>
          <w:spacing w:val="-6"/>
        </w:rPr>
        <w:t> </w:t>
      </w:r>
      <w:r>
        <w:rPr/>
        <w:t>season,</w:t>
      </w:r>
      <w:r>
        <w:rPr>
          <w:spacing w:val="-5"/>
        </w:rPr>
        <w:t> </w:t>
      </w:r>
      <w:r>
        <w:rPr/>
        <w:t>which</w:t>
      </w:r>
      <w:r>
        <w:rPr>
          <w:spacing w:val="-6"/>
        </w:rPr>
        <w:t> </w:t>
      </w:r>
      <w:r>
        <w:rPr/>
        <w:t>also</w:t>
      </w:r>
      <w:r>
        <w:rPr>
          <w:spacing w:val="-6"/>
        </w:rPr>
        <w:t> </w:t>
      </w:r>
      <w:r>
        <w:rPr/>
        <w:t>found</w:t>
      </w:r>
      <w:r>
        <w:rPr>
          <w:spacing w:val="-6"/>
        </w:rPr>
        <w:t> </w:t>
      </w:r>
      <w:r>
        <w:rPr/>
        <w:t>an</w:t>
      </w:r>
      <w:r>
        <w:rPr>
          <w:spacing w:val="-7"/>
        </w:rPr>
        <w:t> </w:t>
      </w:r>
      <w:r>
        <w:rPr/>
        <w:t>increase in</w:t>
      </w:r>
      <w:r>
        <w:rPr>
          <w:spacing w:val="-1"/>
        </w:rPr>
        <w:t> </w:t>
      </w:r>
      <w:r>
        <w:rPr/>
        <w:t>incentives and move-in</w:t>
      </w:r>
      <w:r>
        <w:rPr>
          <w:spacing w:val="-1"/>
        </w:rPr>
        <w:t> </w:t>
      </w:r>
      <w:r>
        <w:rPr/>
        <w:t>specials relative to prior</w:t>
      </w:r>
      <w:r>
        <w:rPr>
          <w:spacing w:val="-1"/>
        </w:rPr>
        <w:t> </w:t>
      </w:r>
      <w:r>
        <w:rPr/>
        <w:t>survey periods. Common</w:t>
      </w:r>
      <w:r>
        <w:rPr>
          <w:spacing w:val="-1"/>
        </w:rPr>
        <w:t> </w:t>
      </w:r>
      <w:r>
        <w:rPr/>
        <w:t>incentives and specials</w:t>
      </w:r>
      <w:r>
        <w:rPr>
          <w:spacing w:val="-8"/>
        </w:rPr>
        <w:t> </w:t>
      </w:r>
      <w:r>
        <w:rPr/>
        <w:t>included</w:t>
      </w:r>
      <w:r>
        <w:rPr>
          <w:spacing w:val="-8"/>
        </w:rPr>
        <w:t> </w:t>
      </w:r>
      <w:r>
        <w:rPr/>
        <w:t>free</w:t>
      </w:r>
      <w:r>
        <w:rPr>
          <w:spacing w:val="-9"/>
        </w:rPr>
        <w:t> </w:t>
      </w:r>
      <w:r>
        <w:rPr/>
        <w:t>or</w:t>
      </w:r>
      <w:r>
        <w:rPr>
          <w:spacing w:val="-7"/>
        </w:rPr>
        <w:t> </w:t>
      </w:r>
      <w:r>
        <w:rPr/>
        <w:t>discounted</w:t>
      </w:r>
      <w:r>
        <w:rPr>
          <w:spacing w:val="-8"/>
        </w:rPr>
        <w:t> </w:t>
      </w:r>
      <w:r>
        <w:rPr/>
        <w:t>rent,</w:t>
      </w:r>
      <w:r>
        <w:rPr>
          <w:spacing w:val="-8"/>
        </w:rPr>
        <w:t> </w:t>
      </w:r>
      <w:r>
        <w:rPr/>
        <w:t>waived</w:t>
      </w:r>
      <w:r>
        <w:rPr>
          <w:spacing w:val="-8"/>
        </w:rPr>
        <w:t> </w:t>
      </w:r>
      <w:r>
        <w:rPr/>
        <w:t>application</w:t>
      </w:r>
      <w:r>
        <w:rPr>
          <w:spacing w:val="-9"/>
        </w:rPr>
        <w:t> </w:t>
      </w:r>
      <w:r>
        <w:rPr/>
        <w:t>fees,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gift</w:t>
      </w:r>
      <w:r>
        <w:rPr>
          <w:spacing w:val="-9"/>
        </w:rPr>
        <w:t> </w:t>
      </w:r>
      <w:r>
        <w:rPr/>
        <w:t>cards,</w:t>
      </w:r>
      <w:r>
        <w:rPr>
          <w:spacing w:val="-8"/>
        </w:rPr>
        <w:t> </w:t>
      </w:r>
      <w:r>
        <w:rPr/>
        <w:t>among</w:t>
      </w:r>
      <w:r>
        <w:rPr>
          <w:spacing w:val="-8"/>
        </w:rPr>
        <w:t> </w:t>
      </w:r>
      <w:r>
        <w:rPr/>
        <w:t>other giveaways.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value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these</w:t>
      </w:r>
      <w:r>
        <w:rPr>
          <w:spacing w:val="-3"/>
        </w:rPr>
        <w:t> </w:t>
      </w:r>
      <w:r>
        <w:rPr/>
        <w:t>incentives</w:t>
      </w:r>
      <w:r>
        <w:rPr>
          <w:spacing w:val="-2"/>
        </w:rPr>
        <w:t> </w:t>
      </w:r>
      <w:r>
        <w:rPr/>
        <w:t>ranged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$35</w:t>
      </w:r>
      <w:r>
        <w:rPr>
          <w:spacing w:val="-3"/>
        </w:rPr>
        <w:t> </w:t>
      </w:r>
      <w:r>
        <w:rPr/>
        <w:t>gift</w:t>
      </w:r>
      <w:r>
        <w:rPr>
          <w:spacing w:val="-3"/>
        </w:rPr>
        <w:t> </w:t>
      </w:r>
      <w:r>
        <w:rPr/>
        <w:t>card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two</w:t>
      </w:r>
      <w:r>
        <w:rPr>
          <w:spacing w:val="-1"/>
        </w:rPr>
        <w:t> </w:t>
      </w:r>
      <w:r>
        <w:rPr/>
        <w:t>full</w:t>
      </w:r>
      <w:r>
        <w:rPr>
          <w:spacing w:val="-2"/>
        </w:rPr>
        <w:t> </w:t>
      </w:r>
      <w:r>
        <w:rPr/>
        <w:t>months</w:t>
      </w:r>
      <w:r>
        <w:rPr>
          <w:spacing w:val="-2"/>
        </w:rPr>
        <w:t> </w:t>
      </w:r>
      <w:r>
        <w:rPr/>
        <w:t>of discounted rent, with the average</w:t>
      </w:r>
      <w:r>
        <w:rPr>
          <w:spacing w:val="-1"/>
        </w:rPr>
        <w:t> </w:t>
      </w:r>
      <w:r>
        <w:rPr/>
        <w:t>value</w:t>
      </w:r>
      <w:r>
        <w:rPr>
          <w:spacing w:val="-1"/>
        </w:rPr>
        <w:t> </w:t>
      </w:r>
      <w:r>
        <w:rPr/>
        <w:t>equaling roughly $1,600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incentives, which is well above prior years.</w:t>
      </w:r>
    </w:p>
    <w:p>
      <w:pPr>
        <w:pStyle w:val="BodyText"/>
        <w:spacing w:after="0" w:line="288" w:lineRule="auto"/>
        <w:sectPr>
          <w:pgSz w:w="12240" w:h="15840"/>
          <w:pgMar w:header="0" w:footer="794" w:top="1700" w:bottom="980" w:left="1440" w:right="1440"/>
        </w:sectPr>
      </w:pPr>
    </w:p>
    <w:p>
      <w:pPr>
        <w:spacing w:before="78"/>
        <w:ind w:left="288" w:right="0" w:firstLine="0"/>
        <w:jc w:val="left"/>
        <w:rPr>
          <w:i/>
          <w:sz w:val="22"/>
        </w:rPr>
      </w:pPr>
      <w:bookmarkStart w:name="Figure 8:  Number of Respondents Offerin" w:id="31"/>
      <w:bookmarkEnd w:id="31"/>
      <w:r>
        <w:rPr/>
      </w:r>
      <w:r>
        <w:rPr>
          <w:i/>
          <w:sz w:val="22"/>
        </w:rPr>
        <w:t>Figure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8:</w:t>
      </w:r>
      <w:r>
        <w:rPr>
          <w:i/>
          <w:spacing w:val="41"/>
          <w:sz w:val="22"/>
        </w:rPr>
        <w:t> </w:t>
      </w:r>
      <w:r>
        <w:rPr>
          <w:i/>
          <w:sz w:val="22"/>
        </w:rPr>
        <w:t>Number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Respondents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Offering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Furnished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Leases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7"/>
          <w:sz w:val="22"/>
        </w:rPr>
        <w:t> </w:t>
      </w:r>
      <w:r>
        <w:rPr>
          <w:i/>
          <w:spacing w:val="-4"/>
          <w:sz w:val="22"/>
        </w:rPr>
        <w:t>Size</w:t>
      </w:r>
    </w:p>
    <w:p>
      <w:pPr>
        <w:pStyle w:val="BodyText"/>
        <w:spacing w:before="32"/>
        <w:rPr>
          <w:i/>
          <w:sz w:val="20"/>
        </w:rPr>
      </w:pPr>
    </w:p>
    <w:p>
      <w:pPr>
        <w:pStyle w:val="BodyText"/>
        <w:spacing w:after="0"/>
        <w:rPr>
          <w:i/>
          <w:sz w:val="20"/>
        </w:rPr>
        <w:sectPr>
          <w:pgSz w:w="12240" w:h="15840"/>
          <w:pgMar w:header="0" w:footer="794" w:top="1700" w:bottom="980" w:left="1440" w:right="1440"/>
        </w:sectPr>
      </w:pPr>
    </w:p>
    <w:p>
      <w:pPr>
        <w:spacing w:before="64"/>
        <w:ind w:left="0" w:right="398" w:firstLine="0"/>
        <w:jc w:val="right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1847850</wp:posOffset>
                </wp:positionH>
                <wp:positionV relativeFrom="paragraph">
                  <wp:posOffset>-113961</wp:posOffset>
                </wp:positionV>
                <wp:extent cx="4242435" cy="1387475"/>
                <wp:effectExtent l="0" t="0" r="0" b="0"/>
                <wp:wrapNone/>
                <wp:docPr id="133" name="Group 1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" name="Group 133"/>
                      <wpg:cNvGrpSpPr/>
                      <wpg:grpSpPr>
                        <a:xfrm>
                          <a:off x="0" y="0"/>
                          <a:ext cx="4242435" cy="1387475"/>
                          <a:chExt cx="4242435" cy="1387475"/>
                        </a:xfrm>
                      </wpg:grpSpPr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352"/>
                            <a:ext cx="4242054" cy="13677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" name="Textbox 135"/>
                        <wps:cNvSpPr txBox="1"/>
                        <wps:spPr>
                          <a:xfrm>
                            <a:off x="360834" y="0"/>
                            <a:ext cx="1289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5"/>
                                  <w:sz w:val="18"/>
                                </w:rPr>
                                <w:t>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2367600" y="570014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10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1708317" y="712546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10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3026882" y="855078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10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1049035" y="997610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3686164" y="1068819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5.5pt;margin-top:-8.973371pt;width:334.05pt;height:109.25pt;mso-position-horizontal-relative:page;mso-position-vertical-relative:paragraph;z-index:15745024" id="docshapegroup104" coordorigin="2910,-179" coordsize="6681,2185">
                <v:shape style="position:absolute;left:2910;top:-149;width:6681;height:2154" type="#_x0000_t75" id="docshape105" stroked="false">
                  <v:imagedata r:id="rId65" o:title=""/>
                </v:shape>
                <v:shape style="position:absolute;left:3478;top:-180;width:203;height:180" type="#_x0000_t202" id="docshape10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404040"/>
                            <w:spacing w:val="-5"/>
                            <w:sz w:val="18"/>
                          </w:rPr>
                          <w:t>16</w:t>
                        </w:r>
                      </w:p>
                    </w:txbxContent>
                  </v:textbox>
                  <w10:wrap type="none"/>
                </v:shape>
                <v:shape style="position:absolute;left:6638;top:718;width:112;height:180" type="#_x0000_t202" id="docshape10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404040"/>
                            <w:spacing w:val="-10"/>
                            <w:sz w:val="18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5600;top:942;width:112;height:180" type="#_x0000_t202" id="docshape10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404040"/>
                            <w:spacing w:val="-10"/>
                            <w:sz w:val="18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7676;top:1167;width:112;height:180" type="#_x0000_t202" id="docshape10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404040"/>
                            <w:spacing w:val="-10"/>
                            <w:sz w:val="18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4562;top:1391;width:112;height:180" type="#_x0000_t202" id="docshape110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404040"/>
                            <w:spacing w:val="-10"/>
                            <w:sz w:val="18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8714;top:1503;width:112;height:180" type="#_x0000_t202" id="docshape11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404040"/>
                            <w:spacing w:val="-10"/>
                            <w:sz w:val="18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585858"/>
          <w:spacing w:val="-5"/>
          <w:sz w:val="18"/>
        </w:rPr>
        <w:t>16</w:t>
      </w:r>
    </w:p>
    <w:p>
      <w:pPr>
        <w:spacing w:before="5"/>
        <w:ind w:left="0" w:right="398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14</w:t>
      </w:r>
    </w:p>
    <w:p>
      <w:pPr>
        <w:spacing w:before="5"/>
        <w:ind w:left="0" w:right="398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12</w:t>
      </w:r>
    </w:p>
    <w:p>
      <w:pPr>
        <w:spacing w:before="4"/>
        <w:ind w:left="0" w:right="398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10</w:t>
      </w:r>
    </w:p>
    <w:p>
      <w:pPr>
        <w:spacing w:before="5"/>
        <w:ind w:left="0" w:right="398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10"/>
          <w:sz w:val="18"/>
        </w:rPr>
        <w:t>8</w:t>
      </w:r>
    </w:p>
    <w:p>
      <w:pPr>
        <w:spacing w:before="5"/>
        <w:ind w:left="0" w:right="398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10"/>
          <w:sz w:val="18"/>
        </w:rPr>
        <w:t>6</w:t>
      </w:r>
    </w:p>
    <w:p>
      <w:pPr>
        <w:spacing w:before="5"/>
        <w:ind w:left="0" w:right="398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10"/>
          <w:sz w:val="18"/>
        </w:rPr>
        <w:t>4</w:t>
      </w:r>
    </w:p>
    <w:p>
      <w:pPr>
        <w:spacing w:before="4"/>
        <w:ind w:left="0" w:right="398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10"/>
          <w:sz w:val="18"/>
        </w:rPr>
        <w:t>2</w:t>
      </w:r>
    </w:p>
    <w:p>
      <w:pPr>
        <w:spacing w:before="5"/>
        <w:ind w:left="0" w:right="398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10"/>
          <w:sz w:val="18"/>
        </w:rPr>
        <w:t>0</w:t>
      </w: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72"/>
        <w:rPr>
          <w:rFonts w:ascii="Calibri"/>
          <w:sz w:val="18"/>
        </w:rPr>
      </w:pPr>
    </w:p>
    <w:p>
      <w:pPr>
        <w:spacing w:before="0"/>
        <w:ind w:left="288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Source:</w:t>
      </w:r>
      <w:r>
        <w:rPr>
          <w:rFonts w:ascii="Arial MT"/>
          <w:spacing w:val="36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5"/>
          <w:sz w:val="16"/>
        </w:rPr>
        <w:t> </w:t>
      </w:r>
      <w:r>
        <w:rPr>
          <w:rFonts w:ascii="Arial MT"/>
          <w:spacing w:val="-4"/>
          <w:sz w:val="16"/>
        </w:rPr>
        <w:t>2025.</w:t>
      </w:r>
    </w:p>
    <w:p>
      <w:pPr>
        <w:pStyle w:val="BodyText"/>
        <w:rPr>
          <w:rFonts w:ascii="Arial MT"/>
          <w:sz w:val="18"/>
        </w:rPr>
      </w:pPr>
      <w:r>
        <w:rPr/>
        <w:br w:type="column"/>
      </w:r>
      <w:r>
        <w:rPr>
          <w:rFonts w:ascii="Arial MT"/>
          <w:sz w:val="18"/>
        </w:rPr>
      </w: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spacing w:before="15"/>
        <w:rPr>
          <w:rFonts w:ascii="Arial MT"/>
          <w:sz w:val="18"/>
        </w:rPr>
      </w:pPr>
    </w:p>
    <w:p>
      <w:pPr>
        <w:spacing w:before="0"/>
        <w:ind w:left="91" w:right="38" w:hanging="92"/>
        <w:jc w:val="left"/>
        <w:rPr>
          <w:rFonts w:ascii="Calibri"/>
          <w:sz w:val="18"/>
        </w:rPr>
      </w:pPr>
      <w:r>
        <w:rPr>
          <w:rFonts w:ascii="Calibri"/>
          <w:color w:val="585858"/>
          <w:sz w:val="18"/>
        </w:rPr>
        <w:t>All</w:t>
      </w:r>
      <w:r>
        <w:rPr>
          <w:rFonts w:ascii="Calibri"/>
          <w:color w:val="585858"/>
          <w:spacing w:val="-11"/>
          <w:sz w:val="18"/>
        </w:rPr>
        <w:t> </w:t>
      </w:r>
      <w:r>
        <w:rPr>
          <w:rFonts w:ascii="Calibri"/>
          <w:color w:val="585858"/>
          <w:sz w:val="18"/>
        </w:rPr>
        <w:t>Unit </w:t>
      </w:r>
      <w:r>
        <w:rPr>
          <w:rFonts w:ascii="Calibri"/>
          <w:color w:val="585858"/>
          <w:spacing w:val="-2"/>
          <w:sz w:val="18"/>
        </w:rPr>
        <w:t>Sizes</w:t>
      </w:r>
    </w:p>
    <w:p>
      <w:pPr>
        <w:pStyle w:val="BodyText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</w: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107"/>
        <w:rPr>
          <w:rFonts w:ascii="Calibri"/>
          <w:sz w:val="18"/>
        </w:rPr>
      </w:pPr>
    </w:p>
    <w:p>
      <w:pPr>
        <w:tabs>
          <w:tab w:pos="1155" w:val="left" w:leader="none"/>
          <w:tab w:pos="2193" w:val="left" w:leader="none"/>
          <w:tab w:pos="3231" w:val="left" w:leader="none"/>
        </w:tabs>
        <w:spacing w:before="0"/>
        <w:ind w:left="288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pacing w:val="-2"/>
          <w:sz w:val="18"/>
        </w:rPr>
        <w:t>Studio</w:t>
      </w:r>
      <w:r>
        <w:rPr>
          <w:rFonts w:ascii="Calibri"/>
          <w:color w:val="585858"/>
          <w:sz w:val="18"/>
        </w:rPr>
        <w:tab/>
        <w:t>1 </w:t>
      </w:r>
      <w:r>
        <w:rPr>
          <w:rFonts w:ascii="Calibri"/>
          <w:color w:val="585858"/>
          <w:spacing w:val="-2"/>
          <w:sz w:val="18"/>
        </w:rPr>
        <w:t>Bedroom</w:t>
      </w:r>
      <w:r>
        <w:rPr>
          <w:rFonts w:ascii="Calibri"/>
          <w:color w:val="585858"/>
          <w:sz w:val="18"/>
        </w:rPr>
        <w:tab/>
        <w:t>2 </w:t>
      </w:r>
      <w:r>
        <w:rPr>
          <w:rFonts w:ascii="Calibri"/>
          <w:color w:val="585858"/>
          <w:spacing w:val="-2"/>
          <w:sz w:val="18"/>
        </w:rPr>
        <w:t>Bedroom</w:t>
      </w:r>
      <w:r>
        <w:rPr>
          <w:rFonts w:ascii="Calibri"/>
          <w:color w:val="585858"/>
          <w:sz w:val="18"/>
        </w:rPr>
        <w:tab/>
        <w:t>3</w:t>
      </w:r>
      <w:r>
        <w:rPr>
          <w:rFonts w:ascii="Calibri"/>
          <w:color w:val="585858"/>
          <w:spacing w:val="-1"/>
          <w:sz w:val="18"/>
        </w:rPr>
        <w:t> </w:t>
      </w:r>
      <w:r>
        <w:rPr>
          <w:rFonts w:ascii="Calibri"/>
          <w:color w:val="585858"/>
          <w:sz w:val="18"/>
        </w:rPr>
        <w:t>Bedroom</w:t>
      </w:r>
      <w:r>
        <w:rPr>
          <w:rFonts w:ascii="Calibri"/>
          <w:color w:val="585858"/>
          <w:spacing w:val="49"/>
          <w:sz w:val="18"/>
        </w:rPr>
        <w:t>  </w:t>
      </w:r>
      <w:r>
        <w:rPr>
          <w:rFonts w:ascii="Calibri"/>
          <w:color w:val="585858"/>
          <w:sz w:val="18"/>
        </w:rPr>
        <w:t>4+ </w:t>
      </w:r>
      <w:r>
        <w:rPr>
          <w:rFonts w:ascii="Calibri"/>
          <w:color w:val="585858"/>
          <w:spacing w:val="-2"/>
          <w:sz w:val="18"/>
        </w:rPr>
        <w:t>Bedroom</w:t>
      </w:r>
    </w:p>
    <w:p>
      <w:pPr>
        <w:spacing w:after="0"/>
        <w:jc w:val="left"/>
        <w:rPr>
          <w:rFonts w:ascii="Calibri"/>
          <w:sz w:val="18"/>
        </w:rPr>
        <w:sectPr>
          <w:type w:val="continuous"/>
          <w:pgSz w:w="12240" w:h="15840"/>
          <w:pgMar w:header="0" w:footer="794" w:top="360" w:bottom="280" w:left="1440" w:right="1440"/>
          <w:cols w:num="3" w:equalWidth="0">
            <w:col w:w="1738" w:space="16"/>
            <w:col w:w="580" w:space="206"/>
            <w:col w:w="6820"/>
          </w:cols>
        </w:sectPr>
      </w:pPr>
    </w:p>
    <w:p>
      <w:pPr>
        <w:spacing w:before="235"/>
        <w:ind w:left="288" w:right="0" w:firstLine="0"/>
        <w:jc w:val="left"/>
        <w:rPr>
          <w:i/>
          <w:sz w:val="22"/>
        </w:rPr>
      </w:pPr>
      <w:bookmarkStart w:name="Figure 9:  Number of Respondents Offerin" w:id="32"/>
      <w:bookmarkEnd w:id="32"/>
      <w:r>
        <w:rPr/>
      </w:r>
      <w:r>
        <w:rPr>
          <w:i/>
          <w:sz w:val="22"/>
        </w:rPr>
        <w:t>Figure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9:</w:t>
      </w:r>
      <w:r>
        <w:rPr>
          <w:i/>
          <w:spacing w:val="42"/>
          <w:sz w:val="22"/>
        </w:rPr>
        <w:t> </w:t>
      </w:r>
      <w:r>
        <w:rPr>
          <w:i/>
          <w:sz w:val="22"/>
        </w:rPr>
        <w:t>Number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Respondents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Offering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Furnished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Bed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Leases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7"/>
          <w:sz w:val="22"/>
        </w:rPr>
        <w:t> </w:t>
      </w:r>
      <w:r>
        <w:rPr>
          <w:i/>
          <w:spacing w:val="-4"/>
          <w:sz w:val="22"/>
        </w:rPr>
        <w:t>Size</w:t>
      </w:r>
    </w:p>
    <w:p>
      <w:pPr>
        <w:pStyle w:val="BodyText"/>
        <w:spacing w:before="173"/>
        <w:rPr>
          <w:i/>
          <w:sz w:val="20"/>
        </w:rPr>
      </w:pPr>
    </w:p>
    <w:p>
      <w:pPr>
        <w:pStyle w:val="BodyText"/>
        <w:spacing w:after="0"/>
        <w:rPr>
          <w:i/>
          <w:sz w:val="20"/>
        </w:rPr>
        <w:sectPr>
          <w:type w:val="continuous"/>
          <w:pgSz w:w="12240" w:h="15840"/>
          <w:pgMar w:header="0" w:footer="794" w:top="360" w:bottom="280" w:left="1440" w:right="1440"/>
        </w:sectPr>
      </w:pPr>
    </w:p>
    <w:p>
      <w:pPr>
        <w:spacing w:before="64"/>
        <w:ind w:left="0" w:right="228" w:firstLine="0"/>
        <w:jc w:val="right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1956816</wp:posOffset>
                </wp:positionH>
                <wp:positionV relativeFrom="paragraph">
                  <wp:posOffset>-148489</wp:posOffset>
                </wp:positionV>
                <wp:extent cx="4023360" cy="1162685"/>
                <wp:effectExtent l="0" t="0" r="0" b="0"/>
                <wp:wrapNone/>
                <wp:docPr id="141" name="Group 1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" name="Group 141"/>
                      <wpg:cNvGrpSpPr/>
                      <wpg:grpSpPr>
                        <a:xfrm>
                          <a:off x="0" y="0"/>
                          <a:ext cx="4023360" cy="1162685"/>
                          <a:chExt cx="4023360" cy="1162685"/>
                        </a:xfrm>
                      </wpg:grpSpPr>
                      <pic:pic>
                        <pic:nvPicPr>
                          <pic:cNvPr id="142" name="Image 142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3834"/>
                            <a:ext cx="4023359" cy="11285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3" name="Textbox 143"/>
                        <wps:cNvSpPr txBox="1"/>
                        <wps:spPr>
                          <a:xfrm>
                            <a:off x="473276" y="0"/>
                            <a:ext cx="1289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5"/>
                                  <w:sz w:val="18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1181136" y="321983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10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1923629" y="395477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10"/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2666122" y="321983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10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3408615" y="542582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04040"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080002pt;margin-top:-11.692069pt;width:316.8pt;height:91.55pt;mso-position-horizontal-relative:page;mso-position-vertical-relative:paragraph;z-index:15745536" id="docshapegroup112" coordorigin="3082,-234" coordsize="6336,1831">
                <v:shape style="position:absolute;left:3081;top:-181;width:6336;height:1778" type="#_x0000_t75" id="docshape113" stroked="false">
                  <v:imagedata r:id="rId66" o:title=""/>
                </v:shape>
                <v:shape style="position:absolute;left:3826;top:-234;width:203;height:180" type="#_x0000_t202" id="docshape11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404040"/>
                            <w:spacing w:val="-5"/>
                            <w:sz w:val="18"/>
                          </w:rPr>
                          <w:t>12</w:t>
                        </w:r>
                      </w:p>
                    </w:txbxContent>
                  </v:textbox>
                  <w10:wrap type="none"/>
                </v:shape>
                <v:shape style="position:absolute;left:4941;top:273;width:112;height:180" type="#_x0000_t202" id="docshape11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404040"/>
                            <w:spacing w:val="-10"/>
                            <w:sz w:val="18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6110;top:388;width:112;height:180" type="#_x0000_t202" id="docshape11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404040"/>
                            <w:spacing w:val="-10"/>
                            <w:sz w:val="18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v:shape style="position:absolute;left:7280;top:273;width:112;height:180" type="#_x0000_t202" id="docshape11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404040"/>
                            <w:spacing w:val="-10"/>
                            <w:sz w:val="18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8449;top:620;width:112;height:180" type="#_x0000_t202" id="docshape11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404040"/>
                            <w:spacing w:val="-10"/>
                            <w:sz w:val="18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585858"/>
          <w:spacing w:val="-5"/>
          <w:sz w:val="18"/>
        </w:rPr>
        <w:t>12</w:t>
      </w:r>
    </w:p>
    <w:p>
      <w:pPr>
        <w:spacing w:before="12"/>
        <w:ind w:left="0" w:right="228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10</w:t>
      </w:r>
    </w:p>
    <w:p>
      <w:pPr>
        <w:spacing w:before="12"/>
        <w:ind w:left="0" w:right="228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10"/>
          <w:sz w:val="18"/>
        </w:rPr>
        <w:t>8</w:t>
      </w:r>
    </w:p>
    <w:p>
      <w:pPr>
        <w:spacing w:before="12"/>
        <w:ind w:left="0" w:right="228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10"/>
          <w:sz w:val="18"/>
        </w:rPr>
        <w:t>6</w:t>
      </w:r>
    </w:p>
    <w:p>
      <w:pPr>
        <w:spacing w:before="12"/>
        <w:ind w:left="0" w:right="228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10"/>
          <w:sz w:val="18"/>
        </w:rPr>
        <w:t>4</w:t>
      </w:r>
    </w:p>
    <w:p>
      <w:pPr>
        <w:spacing w:before="12"/>
        <w:ind w:left="0" w:right="228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10"/>
          <w:sz w:val="18"/>
        </w:rPr>
        <w:t>2</w:t>
      </w:r>
    </w:p>
    <w:p>
      <w:pPr>
        <w:spacing w:before="12"/>
        <w:ind w:left="0" w:right="228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10"/>
          <w:sz w:val="18"/>
        </w:rPr>
        <w:t>0</w:t>
      </w: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165"/>
        <w:rPr>
          <w:rFonts w:ascii="Calibri"/>
          <w:sz w:val="18"/>
        </w:rPr>
      </w:pPr>
    </w:p>
    <w:p>
      <w:pPr>
        <w:spacing w:before="1"/>
        <w:ind w:left="288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Source:</w:t>
      </w:r>
      <w:r>
        <w:rPr>
          <w:rFonts w:ascii="Arial MT"/>
          <w:spacing w:val="36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5"/>
          <w:sz w:val="16"/>
        </w:rPr>
        <w:t> </w:t>
      </w:r>
      <w:r>
        <w:rPr>
          <w:rFonts w:ascii="Arial MT"/>
          <w:spacing w:val="-4"/>
          <w:sz w:val="16"/>
        </w:rPr>
        <w:t>2025.</w:t>
      </w:r>
    </w:p>
    <w:p>
      <w:pPr>
        <w:pStyle w:val="BodyText"/>
        <w:rPr>
          <w:rFonts w:ascii="Arial MT"/>
          <w:sz w:val="18"/>
        </w:rPr>
      </w:pPr>
      <w:r>
        <w:rPr/>
        <w:br w:type="column"/>
      </w:r>
      <w:r>
        <w:rPr>
          <w:rFonts w:ascii="Arial MT"/>
          <w:sz w:val="18"/>
        </w:rPr>
      </w: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rPr>
          <w:rFonts w:ascii="Arial MT"/>
          <w:sz w:val="18"/>
        </w:rPr>
      </w:pPr>
    </w:p>
    <w:p>
      <w:pPr>
        <w:pStyle w:val="BodyText"/>
        <w:spacing w:before="23"/>
        <w:rPr>
          <w:rFonts w:ascii="Arial MT"/>
          <w:sz w:val="18"/>
        </w:rPr>
      </w:pPr>
    </w:p>
    <w:p>
      <w:pPr>
        <w:tabs>
          <w:tab w:pos="1254" w:val="left" w:leader="none"/>
        </w:tabs>
        <w:spacing w:before="0"/>
        <w:ind w:left="0" w:right="38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z w:val="18"/>
        </w:rPr>
        <w:t>All</w:t>
      </w:r>
      <w:r>
        <w:rPr>
          <w:rFonts w:ascii="Calibri"/>
          <w:color w:val="585858"/>
          <w:spacing w:val="-2"/>
          <w:sz w:val="18"/>
        </w:rPr>
        <w:t> </w:t>
      </w:r>
      <w:r>
        <w:rPr>
          <w:rFonts w:ascii="Calibri"/>
          <w:color w:val="585858"/>
          <w:sz w:val="18"/>
        </w:rPr>
        <w:t>Unit</w:t>
      </w:r>
      <w:r>
        <w:rPr>
          <w:rFonts w:ascii="Calibri"/>
          <w:color w:val="585858"/>
          <w:spacing w:val="-2"/>
          <w:sz w:val="18"/>
        </w:rPr>
        <w:t> Sizes</w:t>
      </w:r>
      <w:r>
        <w:rPr>
          <w:rFonts w:ascii="Calibri"/>
          <w:color w:val="585858"/>
          <w:sz w:val="18"/>
        </w:rPr>
        <w:tab/>
        <w:t>Studio</w:t>
      </w:r>
      <w:r>
        <w:rPr>
          <w:rFonts w:ascii="Calibri"/>
          <w:color w:val="585858"/>
          <w:spacing w:val="-1"/>
          <w:sz w:val="18"/>
        </w:rPr>
        <w:t> </w:t>
      </w:r>
      <w:r>
        <w:rPr>
          <w:rFonts w:ascii="Calibri"/>
          <w:color w:val="585858"/>
          <w:sz w:val="18"/>
        </w:rPr>
        <w:t>&amp;</w:t>
      </w:r>
      <w:r>
        <w:rPr>
          <w:rFonts w:ascii="Calibri"/>
          <w:color w:val="585858"/>
          <w:spacing w:val="-1"/>
          <w:sz w:val="18"/>
        </w:rPr>
        <w:t> </w:t>
      </w:r>
      <w:r>
        <w:rPr>
          <w:rFonts w:ascii="Calibri"/>
          <w:color w:val="585858"/>
          <w:spacing w:val="-10"/>
          <w:sz w:val="18"/>
        </w:rPr>
        <w:t>1</w:t>
      </w:r>
    </w:p>
    <w:p>
      <w:pPr>
        <w:spacing w:before="0"/>
        <w:ind w:left="0" w:right="81" w:firstLine="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2"/>
          <w:sz w:val="18"/>
        </w:rPr>
        <w:t>Bedroom</w:t>
      </w:r>
    </w:p>
    <w:p>
      <w:pPr>
        <w:pStyle w:val="BodyText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</w: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140"/>
        <w:rPr>
          <w:rFonts w:ascii="Calibri"/>
          <w:sz w:val="18"/>
        </w:rPr>
      </w:pPr>
    </w:p>
    <w:p>
      <w:pPr>
        <w:tabs>
          <w:tab w:pos="1457" w:val="left" w:leader="none"/>
          <w:tab w:pos="2581" w:val="left" w:leader="none"/>
        </w:tabs>
        <w:spacing w:before="1"/>
        <w:ind w:left="288" w:right="0" w:firstLine="0"/>
        <w:jc w:val="left"/>
        <w:rPr>
          <w:rFonts w:ascii="Calibri"/>
          <w:sz w:val="18"/>
        </w:rPr>
      </w:pPr>
      <w:r>
        <w:rPr>
          <w:rFonts w:ascii="Calibri"/>
          <w:color w:val="585858"/>
          <w:sz w:val="18"/>
        </w:rPr>
        <w:t>2 </w:t>
      </w:r>
      <w:r>
        <w:rPr>
          <w:rFonts w:ascii="Calibri"/>
          <w:color w:val="585858"/>
          <w:spacing w:val="-2"/>
          <w:sz w:val="18"/>
        </w:rPr>
        <w:t>Bedroom</w:t>
      </w:r>
      <w:r>
        <w:rPr>
          <w:rFonts w:ascii="Calibri"/>
          <w:color w:val="585858"/>
          <w:sz w:val="18"/>
        </w:rPr>
        <w:tab/>
        <w:t>3 </w:t>
      </w:r>
      <w:r>
        <w:rPr>
          <w:rFonts w:ascii="Calibri"/>
          <w:color w:val="585858"/>
          <w:spacing w:val="-2"/>
          <w:sz w:val="18"/>
        </w:rPr>
        <w:t>Bedroom</w:t>
      </w:r>
      <w:r>
        <w:rPr>
          <w:rFonts w:ascii="Calibri"/>
          <w:color w:val="585858"/>
          <w:sz w:val="18"/>
        </w:rPr>
        <w:tab/>
        <w:t>4+</w:t>
      </w:r>
      <w:r>
        <w:rPr>
          <w:rFonts w:ascii="Calibri"/>
          <w:color w:val="585858"/>
          <w:spacing w:val="-1"/>
          <w:sz w:val="18"/>
        </w:rPr>
        <w:t> </w:t>
      </w:r>
      <w:r>
        <w:rPr>
          <w:rFonts w:ascii="Calibri"/>
          <w:color w:val="585858"/>
          <w:spacing w:val="-2"/>
          <w:sz w:val="18"/>
        </w:rPr>
        <w:t>Bedroom</w:t>
      </w:r>
    </w:p>
    <w:p>
      <w:pPr>
        <w:spacing w:after="0"/>
        <w:jc w:val="left"/>
        <w:rPr>
          <w:rFonts w:ascii="Calibri"/>
          <w:sz w:val="18"/>
        </w:rPr>
        <w:sectPr>
          <w:type w:val="continuous"/>
          <w:pgSz w:w="12240" w:h="15840"/>
          <w:pgMar w:header="0" w:footer="794" w:top="360" w:bottom="280" w:left="1440" w:right="1440"/>
          <w:cols w:num="3" w:equalWidth="0">
            <w:col w:w="1738" w:space="40"/>
            <w:col w:w="2074" w:space="52"/>
            <w:col w:w="5456"/>
          </w:cols>
        </w:sectPr>
      </w:pPr>
    </w:p>
    <w:p>
      <w:pPr>
        <w:pStyle w:val="BodyText"/>
        <w:spacing w:before="59"/>
        <w:rPr>
          <w:rFonts w:ascii="Calibri"/>
          <w:sz w:val="23"/>
        </w:rPr>
      </w:pPr>
    </w:p>
    <w:p>
      <w:pPr>
        <w:pStyle w:val="Heading1"/>
        <w:spacing w:before="1"/>
      </w:pPr>
      <w:bookmarkStart w:name="Planned Renovations" w:id="33"/>
      <w:bookmarkEnd w:id="33"/>
      <w:r>
        <w:rPr>
          <w:i w:val="0"/>
        </w:rPr>
      </w:r>
      <w:r>
        <w:rPr/>
        <w:t>Planned</w:t>
      </w:r>
      <w:r>
        <w:rPr>
          <w:spacing w:val="31"/>
        </w:rPr>
        <w:t> </w:t>
      </w:r>
      <w:r>
        <w:rPr>
          <w:spacing w:val="-2"/>
        </w:rPr>
        <w:t>Renovations</w:t>
      </w:r>
    </w:p>
    <w:p>
      <w:pPr>
        <w:pStyle w:val="BodyText"/>
        <w:spacing w:line="288" w:lineRule="auto" w:before="48"/>
        <w:ind w:left="287" w:right="288"/>
      </w:pPr>
      <w:r>
        <w:rPr/>
        <w:t>Twenty-five</w:t>
      </w:r>
      <w:r>
        <w:rPr>
          <w:spacing w:val="-9"/>
        </w:rPr>
        <w:t> </w:t>
      </w:r>
      <w:r>
        <w:rPr/>
        <w:t>respondents</w:t>
      </w:r>
      <w:r>
        <w:rPr>
          <w:spacing w:val="-8"/>
        </w:rPr>
        <w:t> </w:t>
      </w:r>
      <w:r>
        <w:rPr/>
        <w:t>reported</w:t>
      </w:r>
      <w:r>
        <w:rPr>
          <w:spacing w:val="-8"/>
        </w:rPr>
        <w:t> </w:t>
      </w:r>
      <w:r>
        <w:rPr/>
        <w:t>having</w:t>
      </w:r>
      <w:r>
        <w:rPr>
          <w:spacing w:val="-8"/>
        </w:rPr>
        <w:t> </w:t>
      </w:r>
      <w:r>
        <w:rPr/>
        <w:t>plans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undertake</w:t>
      </w:r>
      <w:r>
        <w:rPr>
          <w:spacing w:val="-9"/>
        </w:rPr>
        <w:t> </w:t>
      </w:r>
      <w:r>
        <w:rPr/>
        <w:t>renovations</w:t>
      </w:r>
      <w:r>
        <w:rPr>
          <w:spacing w:val="-8"/>
        </w:rPr>
        <w:t> </w:t>
      </w:r>
      <w:r>
        <w:rPr/>
        <w:t>within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next</w:t>
      </w:r>
      <w:r>
        <w:rPr>
          <w:spacing w:val="-9"/>
        </w:rPr>
        <w:t> </w:t>
      </w:r>
      <w:r>
        <w:rPr/>
        <w:t>12 months.</w:t>
      </w:r>
      <w:r>
        <w:rPr>
          <w:spacing w:val="-11"/>
        </w:rPr>
        <w:t> </w:t>
      </w:r>
      <w:r>
        <w:rPr/>
        <w:t>Most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those</w:t>
      </w:r>
      <w:r>
        <w:rPr>
          <w:spacing w:val="-10"/>
        </w:rPr>
        <w:t> </w:t>
      </w:r>
      <w:r>
        <w:rPr/>
        <w:t>that</w:t>
      </w:r>
      <w:r>
        <w:rPr>
          <w:spacing w:val="-11"/>
        </w:rPr>
        <w:t> </w:t>
      </w:r>
      <w:r>
        <w:rPr/>
        <w:t>reported</w:t>
      </w:r>
      <w:r>
        <w:rPr>
          <w:spacing w:val="-11"/>
        </w:rPr>
        <w:t> </w:t>
      </w:r>
      <w:r>
        <w:rPr/>
        <w:t>planned</w:t>
      </w:r>
      <w:r>
        <w:rPr>
          <w:spacing w:val="-11"/>
        </w:rPr>
        <w:t> </w:t>
      </w:r>
      <w:r>
        <w:rPr/>
        <w:t>renovations</w:t>
      </w:r>
      <w:r>
        <w:rPr>
          <w:spacing w:val="-11"/>
        </w:rPr>
        <w:t> </w:t>
      </w:r>
      <w:r>
        <w:rPr/>
        <w:t>conduct</w:t>
      </w:r>
      <w:r>
        <w:rPr>
          <w:spacing w:val="-11"/>
        </w:rPr>
        <w:t> </w:t>
      </w:r>
      <w:r>
        <w:rPr/>
        <w:t>periodic</w:t>
      </w:r>
      <w:r>
        <w:rPr>
          <w:spacing w:val="-11"/>
        </w:rPr>
        <w:t> </w:t>
      </w:r>
      <w:r>
        <w:rPr/>
        <w:t>updates</w:t>
      </w:r>
      <w:r>
        <w:rPr>
          <w:spacing w:val="-11"/>
        </w:rPr>
        <w:t> </w:t>
      </w:r>
      <w:r>
        <w:rPr/>
        <w:t>as</w:t>
      </w:r>
      <w:r>
        <w:rPr>
          <w:spacing w:val="-11"/>
        </w:rPr>
        <w:t> </w:t>
      </w:r>
      <w:r>
        <w:rPr/>
        <w:t>units turn over.</w:t>
      </w:r>
      <w:r>
        <w:rPr>
          <w:spacing w:val="-1"/>
        </w:rPr>
        <w:t> </w:t>
      </w:r>
      <w:r>
        <w:rPr/>
        <w:t>Other</w:t>
      </w:r>
      <w:r>
        <w:rPr>
          <w:spacing w:val="-2"/>
        </w:rPr>
        <w:t> </w:t>
      </w:r>
      <w:r>
        <w:rPr/>
        <w:t>common upgrades</w:t>
      </w:r>
      <w:r>
        <w:rPr>
          <w:spacing w:val="-1"/>
        </w:rPr>
        <w:t> </w:t>
      </w:r>
      <w:r>
        <w:rPr/>
        <w:t>include</w:t>
      </w:r>
      <w:r>
        <w:rPr>
          <w:spacing w:val="-2"/>
        </w:rPr>
        <w:t> </w:t>
      </w:r>
      <w:r>
        <w:rPr/>
        <w:t>new</w:t>
      </w:r>
      <w:r>
        <w:rPr>
          <w:spacing w:val="-1"/>
        </w:rPr>
        <w:t> </w:t>
      </w:r>
      <w:r>
        <w:rPr/>
        <w:t>kitchen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bath</w:t>
      </w:r>
      <w:r>
        <w:rPr>
          <w:spacing w:val="-1"/>
        </w:rPr>
        <w:t> </w:t>
      </w:r>
      <w:r>
        <w:rPr/>
        <w:t>facilities,</w:t>
      </w:r>
      <w:r>
        <w:rPr>
          <w:spacing w:val="-1"/>
        </w:rPr>
        <w:t> </w:t>
      </w:r>
      <w:r>
        <w:rPr/>
        <w:t>windows,</w:t>
      </w:r>
      <w:r>
        <w:rPr>
          <w:spacing w:val="-1"/>
        </w:rPr>
        <w:t> </w:t>
      </w:r>
      <w:r>
        <w:rPr/>
        <w:t>and countertops.</w:t>
      </w:r>
      <w:r>
        <w:rPr>
          <w:spacing w:val="-8"/>
        </w:rPr>
        <w:t> </w:t>
      </w:r>
      <w:r>
        <w:rPr/>
        <w:t>Other</w:t>
      </w:r>
      <w:r>
        <w:rPr>
          <w:spacing w:val="-10"/>
        </w:rPr>
        <w:t> </w:t>
      </w:r>
      <w:r>
        <w:rPr/>
        <w:t>exterior</w:t>
      </w:r>
      <w:r>
        <w:rPr>
          <w:spacing w:val="-10"/>
        </w:rPr>
        <w:t> </w:t>
      </w:r>
      <w:r>
        <w:rPr/>
        <w:t>upgrades</w:t>
      </w:r>
      <w:r>
        <w:rPr>
          <w:spacing w:val="-9"/>
        </w:rPr>
        <w:t> </w:t>
      </w:r>
      <w:r>
        <w:rPr/>
        <w:t>typically</w:t>
      </w:r>
      <w:r>
        <w:rPr>
          <w:spacing w:val="-9"/>
        </w:rPr>
        <w:t> </w:t>
      </w:r>
      <w:r>
        <w:rPr/>
        <w:t>include</w:t>
      </w:r>
      <w:r>
        <w:rPr>
          <w:spacing w:val="-10"/>
        </w:rPr>
        <w:t> </w:t>
      </w:r>
      <w:r>
        <w:rPr/>
        <w:t>new</w:t>
      </w:r>
      <w:r>
        <w:rPr>
          <w:spacing w:val="-9"/>
        </w:rPr>
        <w:t> </w:t>
      </w:r>
      <w:r>
        <w:rPr/>
        <w:t>paint</w:t>
      </w:r>
      <w:r>
        <w:rPr>
          <w:spacing w:val="-8"/>
        </w:rPr>
        <w:t> </w:t>
      </w:r>
      <w:r>
        <w:rPr/>
        <w:t>or</w:t>
      </w:r>
      <w:r>
        <w:rPr>
          <w:spacing w:val="-10"/>
        </w:rPr>
        <w:t> </w:t>
      </w:r>
      <w:r>
        <w:rPr/>
        <w:t>siding,</w:t>
      </w:r>
      <w:r>
        <w:rPr>
          <w:spacing w:val="-9"/>
        </w:rPr>
        <w:t> </w:t>
      </w:r>
      <w:r>
        <w:rPr/>
        <w:t>landscaping,</w:t>
      </w:r>
      <w:r>
        <w:rPr>
          <w:spacing w:val="-9"/>
        </w:rPr>
        <w:t> </w:t>
      </w:r>
      <w:r>
        <w:rPr/>
        <w:t>and common area improvements.</w:t>
      </w:r>
    </w:p>
    <w:sectPr>
      <w:type w:val="continuous"/>
      <w:pgSz w:w="12240" w:h="15840"/>
      <w:pgMar w:header="0" w:footer="794" w:top="3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Franklin Gothic Medium">
    <w:altName w:val="Franklin Gothic Medium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11584">
              <wp:simplePos x="0" y="0"/>
              <wp:positionH relativeFrom="page">
                <wp:posOffset>3787394</wp:posOffset>
              </wp:positionH>
              <wp:positionV relativeFrom="page">
                <wp:posOffset>9414788</wp:posOffset>
              </wp:positionV>
              <wp:extent cx="197485" cy="1917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97485" cy="191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3"/>
                            </w:rPr>
                          </w:pPr>
                          <w:r>
                            <w:rPr>
                              <w:spacing w:val="-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3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8.220001pt;margin-top:741.321899pt;width:15.55pt;height:15.1pt;mso-position-horizontal-relative:page;mso-position-vertical-relative:page;z-index:-17104896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spacing w:val="-5"/>
                        <w:sz w:val="23"/>
                      </w:rPr>
                      <w:fldChar w:fldCharType="begin"/>
                    </w:r>
                    <w:r>
                      <w:rPr>
                        <w:spacing w:val="-5"/>
                        <w:sz w:val="23"/>
                      </w:rPr>
                      <w:instrText> PAGE </w:instrText>
                    </w:r>
                    <w:r>
                      <w:rPr>
                        <w:spacing w:val="-5"/>
                        <w:sz w:val="23"/>
                      </w:rPr>
                      <w:fldChar w:fldCharType="separate"/>
                    </w:r>
                    <w:r>
                      <w:rPr>
                        <w:spacing w:val="-5"/>
                        <w:sz w:val="23"/>
                      </w:rPr>
                      <w:t>10</w:t>
                    </w:r>
                    <w:r>
                      <w:rPr>
                        <w:spacing w:val="-5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(%1)"/>
      <w:lvlJc w:val="left"/>
      <w:pPr>
        <w:ind w:left="571" w:hanging="28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8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6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4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92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70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48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6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04" w:hanging="284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(%1)"/>
      <w:lvlJc w:val="left"/>
      <w:pPr>
        <w:ind w:left="571" w:hanging="28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8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6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4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92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70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48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6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04" w:hanging="284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(%1)"/>
      <w:lvlJc w:val="left"/>
      <w:pPr>
        <w:ind w:left="288" w:hanging="28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8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6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4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12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20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28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36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44" w:hanging="284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(%1)"/>
      <w:lvlJc w:val="left"/>
      <w:pPr>
        <w:ind w:left="571" w:hanging="28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8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6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4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92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70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48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6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04" w:hanging="28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457" w:hanging="13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585858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13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40" w:hanging="1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30" w:hanging="1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0" w:hanging="1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10" w:hanging="1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0" w:hanging="1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0" w:hanging="1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80" w:hanging="13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(%1)"/>
      <w:lvlJc w:val="left"/>
      <w:pPr>
        <w:ind w:left="571" w:hanging="28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58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6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4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92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70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48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6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04" w:hanging="284"/>
      </w:pPr>
      <w:rPr>
        <w:rFonts w:hint="default"/>
        <w:lang w:val="en-US" w:eastAsia="en-US" w:bidi="ar-SA"/>
      </w:rPr>
    </w:lvl>
  </w:abstractNum>
  <w:num w:numId="3">
    <w:abstractNumId w:val="2"/>
  </w:num>
  <w:num w:numId="6">
    <w:abstractNumId w:val="5"/>
  </w:num>
  <w:num w:numId="5">
    <w:abstractNumId w:val="4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ranklin Gothic Medium" w:hAnsi="Franklin Gothic Medium" w:eastAsia="Franklin Gothic Medium" w:cs="Franklin Gothic Medium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Franklin Gothic Medium" w:hAnsi="Franklin Gothic Medium" w:eastAsia="Franklin Gothic Medium" w:cs="Franklin Gothic Medium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88"/>
      <w:outlineLvl w:val="1"/>
    </w:pPr>
    <w:rPr>
      <w:rFonts w:ascii="Franklin Gothic Medium" w:hAnsi="Franklin Gothic Medium" w:eastAsia="Franklin Gothic Medium" w:cs="Franklin Gothic Medium"/>
      <w:i/>
      <w:iCs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2"/>
      <w:ind w:left="288"/>
    </w:pPr>
    <w:rPr>
      <w:rFonts w:ascii="Trebuchet MS" w:hAnsi="Trebuchet MS" w:eastAsia="Trebuchet MS" w:cs="Trebuchet MS"/>
      <w:sz w:val="92"/>
      <w:szCs w:val="9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88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data.census.gov/" TargetMode="External"/><Relationship Id="rId6" Type="http://schemas.openxmlformats.org/officeDocument/2006/relationships/hyperlink" Target="http://www.bae1.com/" TargetMode="External"/><Relationship Id="rId7" Type="http://schemas.openxmlformats.org/officeDocument/2006/relationships/footer" Target="footer1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6.png"/><Relationship Id="rId34" Type="http://schemas.openxmlformats.org/officeDocument/2006/relationships/image" Target="media/image27.png"/><Relationship Id="rId35" Type="http://schemas.openxmlformats.org/officeDocument/2006/relationships/image" Target="media/image28.png"/><Relationship Id="rId36" Type="http://schemas.openxmlformats.org/officeDocument/2006/relationships/image" Target="media/image29.png"/><Relationship Id="rId37" Type="http://schemas.openxmlformats.org/officeDocument/2006/relationships/image" Target="media/image30.png"/><Relationship Id="rId38" Type="http://schemas.openxmlformats.org/officeDocument/2006/relationships/image" Target="media/image31.png"/><Relationship Id="rId39" Type="http://schemas.openxmlformats.org/officeDocument/2006/relationships/image" Target="media/image32.png"/><Relationship Id="rId40" Type="http://schemas.openxmlformats.org/officeDocument/2006/relationships/image" Target="media/image33.png"/><Relationship Id="rId41" Type="http://schemas.openxmlformats.org/officeDocument/2006/relationships/image" Target="media/image34.png"/><Relationship Id="rId42" Type="http://schemas.openxmlformats.org/officeDocument/2006/relationships/image" Target="media/image35.png"/><Relationship Id="rId43" Type="http://schemas.openxmlformats.org/officeDocument/2006/relationships/image" Target="media/image36.png"/><Relationship Id="rId44" Type="http://schemas.openxmlformats.org/officeDocument/2006/relationships/image" Target="media/image37.png"/><Relationship Id="rId45" Type="http://schemas.openxmlformats.org/officeDocument/2006/relationships/hyperlink" Target="https://aggiedata.ucdavis.edu/" TargetMode="External"/><Relationship Id="rId46" Type="http://schemas.openxmlformats.org/officeDocument/2006/relationships/image" Target="media/image38.png"/><Relationship Id="rId47" Type="http://schemas.openxmlformats.org/officeDocument/2006/relationships/image" Target="media/image39.png"/><Relationship Id="rId48" Type="http://schemas.openxmlformats.org/officeDocument/2006/relationships/image" Target="media/image40.png"/><Relationship Id="rId49" Type="http://schemas.openxmlformats.org/officeDocument/2006/relationships/image" Target="media/image41.png"/><Relationship Id="rId50" Type="http://schemas.openxmlformats.org/officeDocument/2006/relationships/image" Target="media/image42.png"/><Relationship Id="rId51" Type="http://schemas.openxmlformats.org/officeDocument/2006/relationships/image" Target="media/image43.png"/><Relationship Id="rId52" Type="http://schemas.openxmlformats.org/officeDocument/2006/relationships/image" Target="media/image44.png"/><Relationship Id="rId53" Type="http://schemas.openxmlformats.org/officeDocument/2006/relationships/image" Target="media/image45.png"/><Relationship Id="rId54" Type="http://schemas.openxmlformats.org/officeDocument/2006/relationships/image" Target="media/image46.png"/><Relationship Id="rId55" Type="http://schemas.openxmlformats.org/officeDocument/2006/relationships/image" Target="media/image47.png"/><Relationship Id="rId56" Type="http://schemas.openxmlformats.org/officeDocument/2006/relationships/image" Target="media/image48.png"/><Relationship Id="rId57" Type="http://schemas.openxmlformats.org/officeDocument/2006/relationships/image" Target="media/image49.png"/><Relationship Id="rId58" Type="http://schemas.openxmlformats.org/officeDocument/2006/relationships/image" Target="media/image50.png"/><Relationship Id="rId59" Type="http://schemas.openxmlformats.org/officeDocument/2006/relationships/image" Target="media/image51.png"/><Relationship Id="rId60" Type="http://schemas.openxmlformats.org/officeDocument/2006/relationships/image" Target="media/image52.png"/><Relationship Id="rId61" Type="http://schemas.openxmlformats.org/officeDocument/2006/relationships/image" Target="media/image53.png"/><Relationship Id="rId62" Type="http://schemas.openxmlformats.org/officeDocument/2006/relationships/image" Target="media/image54.png"/><Relationship Id="rId63" Type="http://schemas.openxmlformats.org/officeDocument/2006/relationships/image" Target="media/image55.png"/><Relationship Id="rId64" Type="http://schemas.openxmlformats.org/officeDocument/2006/relationships/image" Target="media/image56.png"/><Relationship Id="rId65" Type="http://schemas.openxmlformats.org/officeDocument/2006/relationships/image" Target="media/image57.png"/><Relationship Id="rId66" Type="http://schemas.openxmlformats.org/officeDocument/2006/relationships/image" Target="media/image58.png"/><Relationship Id="rId6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BAE Urban Economics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BAE Urban Economics</dc:creator>
  <dcterms:created xsi:type="dcterms:W3CDTF">2026-04-22T17:05:44Z</dcterms:created>
  <dcterms:modified xsi:type="dcterms:W3CDTF">2026-04-22T17:05:44Z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0x01010010F1FFEE6E95E848B41F769502611AE2</vt:lpwstr>
  </property>
  <property fmtid="{D5CDD505-2E9C-101B-9397-08002B2CF9AE}" pid="3" name="Converter">
    <vt:lpwstr>SolidFramework v10.0.19910.1</vt:lpwstr>
  </property>
  <property fmtid="{D5CDD505-2E9C-101B-9397-08002B2CF9AE}" pid="4" name="Created">
    <vt:filetime>2026-02-17T00:00:00Z</vt:filetime>
  </property>
  <property fmtid="{D5CDD505-2E9C-101B-9397-08002B2CF9AE}" pid="5" name="Creator">
    <vt:lpwstr>Acrobat PDFMaker 20 for Word</vt:lpwstr>
  </property>
  <property fmtid="{D5CDD505-2E9C-101B-9397-08002B2CF9AE}" pid="6" name="LastSaved">
    <vt:filetime>2026-04-22T00:00:00Z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20.5.118</vt:lpwstr>
  </property>
  <property fmtid="{D5CDD505-2E9C-101B-9397-08002B2CF9AE}" pid="9" name="SourceModified">
    <vt:lpwstr>D:20260217184342</vt:lpwstr>
  </property>
</Properties>
</file>